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p>
    <w:p>
      <w:pPr>
        <w:pStyle w:val="BodyText"/>
        <w:rPr>
          <w:sz w:val="20"/>
        </w:rPr>
      </w:pPr>
    </w:p>
    <w:p>
      <w:pPr>
        <w:pStyle w:val="BodyText"/>
        <w:rPr>
          <w:sz w:val="20"/>
        </w:rPr>
      </w:pPr>
    </w:p>
    <w:p>
      <w:pPr>
        <w:pStyle w:val="BodyText"/>
        <w:rPr>
          <w:sz w:val="20"/>
        </w:rPr>
      </w:pPr>
    </w:p>
    <w:p>
      <w:pPr>
        <w:pStyle w:val="BodyText"/>
        <w:rPr>
          <w:sz w:val="19"/>
        </w:rPr>
      </w:pPr>
    </w:p>
    <w:p>
      <w:pPr>
        <w:tabs>
          <w:tab w:pos="4885" w:val="left" w:leader="none"/>
        </w:tabs>
        <w:spacing w:before="93" w:after="6"/>
        <w:ind w:left="588" w:right="0" w:firstLine="0"/>
        <w:jc w:val="left"/>
        <w:rPr>
          <w:i/>
          <w:sz w:val="18"/>
        </w:rPr>
      </w:pPr>
      <w:r>
        <w:rPr>
          <w:i/>
          <w:sz w:val="18"/>
        </w:rPr>
        <w:t>Rivista Italiana di Economia Demografia</w:t>
      </w:r>
      <w:r>
        <w:rPr>
          <w:i/>
          <w:spacing w:val="-7"/>
          <w:sz w:val="18"/>
        </w:rPr>
        <w:t> </w:t>
      </w:r>
      <w:r>
        <w:rPr>
          <w:i/>
          <w:sz w:val="18"/>
        </w:rPr>
        <w:t>e</w:t>
      </w:r>
      <w:r>
        <w:rPr>
          <w:i/>
          <w:spacing w:val="-4"/>
          <w:sz w:val="18"/>
        </w:rPr>
        <w:t> </w:t>
      </w:r>
      <w:r>
        <w:rPr>
          <w:i/>
          <w:sz w:val="18"/>
        </w:rPr>
        <w:t>Statistica</w:t>
        <w:tab/>
        <w:t>53ma Riunione Scientifica – Roma</w:t>
      </w:r>
      <w:r>
        <w:rPr>
          <w:i/>
          <w:spacing w:val="-5"/>
          <w:sz w:val="18"/>
        </w:rPr>
        <w:t> </w:t>
      </w:r>
      <w:r>
        <w:rPr>
          <w:i/>
          <w:sz w:val="18"/>
        </w:rPr>
        <w:t>UNINT</w:t>
      </w:r>
    </w:p>
    <w:p>
      <w:pPr>
        <w:pStyle w:val="BodyText"/>
        <w:spacing w:line="20" w:lineRule="exact"/>
        <w:ind w:left="558"/>
        <w:rPr>
          <w:sz w:val="2"/>
        </w:rPr>
      </w:pPr>
      <w:r>
        <w:rPr>
          <w:sz w:val="2"/>
        </w:rPr>
        <w:pict>
          <v:group style="width:369pt;height:.25pt;mso-position-horizontal-relative:char;mso-position-vertical-relative:line" coordorigin="0,0" coordsize="7380,5">
            <v:line style="position:absolute" from="0,3" to="7380,3" stroked="true" strokeweight=".25pt" strokecolor="#000000">
              <v:stroke dashstyle="solid"/>
            </v:line>
          </v:group>
        </w:pict>
      </w:r>
      <w:r>
        <w:rPr>
          <w:sz w:val="2"/>
        </w:rPr>
      </w:r>
    </w:p>
    <w:p>
      <w:pPr>
        <w:pStyle w:val="BodyText"/>
        <w:rPr>
          <w:i/>
          <w:sz w:val="20"/>
        </w:rPr>
      </w:pPr>
    </w:p>
    <w:p>
      <w:pPr>
        <w:pStyle w:val="BodyText"/>
        <w:spacing w:before="1"/>
        <w:rPr>
          <w:i/>
          <w:sz w:val="23"/>
        </w:rPr>
      </w:pPr>
    </w:p>
    <w:p>
      <w:pPr>
        <w:spacing w:before="0"/>
        <w:ind w:left="624" w:right="624" w:firstLine="0"/>
        <w:jc w:val="center"/>
        <w:rPr>
          <w:b/>
          <w:sz w:val="24"/>
        </w:rPr>
      </w:pPr>
      <w:r>
        <w:rPr>
          <w:b/>
          <w:sz w:val="24"/>
        </w:rPr>
        <w:t>EMOTIONAL TEXT MINING OF SOCIAL NETWORKS: THE FRENCH PRE-ELECTORAL SENTIMENT ON MIGRATION</w:t>
      </w:r>
    </w:p>
    <w:p>
      <w:pPr>
        <w:pStyle w:val="BodyText"/>
        <w:spacing w:before="7"/>
        <w:rPr>
          <w:b/>
          <w:sz w:val="21"/>
        </w:rPr>
      </w:pPr>
    </w:p>
    <w:p>
      <w:pPr>
        <w:pStyle w:val="BodyText"/>
        <w:ind w:left="1706"/>
      </w:pPr>
      <w:r>
        <w:rPr/>
        <w:t>Francesca Greco 1, Dario Maschietti 2, Alessandro Polli 3</w:t>
      </w:r>
    </w:p>
    <w:p>
      <w:pPr>
        <w:pStyle w:val="BodyText"/>
        <w:rPr>
          <w:sz w:val="24"/>
        </w:rPr>
      </w:pPr>
    </w:p>
    <w:p>
      <w:pPr>
        <w:pStyle w:val="BodyText"/>
        <w:rPr>
          <w:sz w:val="24"/>
        </w:rPr>
      </w:pPr>
    </w:p>
    <w:p>
      <w:pPr>
        <w:pStyle w:val="BodyText"/>
        <w:rPr>
          <w:sz w:val="24"/>
        </w:rPr>
      </w:pPr>
    </w:p>
    <w:p>
      <w:pPr>
        <w:pStyle w:val="BodyText"/>
        <w:rPr>
          <w:sz w:val="24"/>
        </w:rPr>
      </w:pPr>
    </w:p>
    <w:p>
      <w:pPr>
        <w:pStyle w:val="Heading1"/>
        <w:numPr>
          <w:ilvl w:val="0"/>
          <w:numId w:val="1"/>
        </w:numPr>
        <w:tabs>
          <w:tab w:pos="872" w:val="left" w:leader="none"/>
        </w:tabs>
        <w:spacing w:line="240" w:lineRule="auto" w:before="168" w:after="0"/>
        <w:ind w:left="871" w:right="0" w:hanging="283"/>
        <w:jc w:val="left"/>
      </w:pPr>
      <w:r>
        <w:rPr/>
        <w:t>Introduction</w:t>
      </w:r>
    </w:p>
    <w:p>
      <w:pPr>
        <w:pStyle w:val="BodyText"/>
        <w:spacing w:before="7"/>
        <w:rPr>
          <w:b/>
          <w:sz w:val="21"/>
        </w:rPr>
      </w:pPr>
    </w:p>
    <w:p>
      <w:pPr>
        <w:pStyle w:val="BodyText"/>
        <w:ind w:left="588" w:right="584" w:firstLine="283"/>
        <w:jc w:val="both"/>
      </w:pPr>
      <w:r>
        <w:rPr/>
        <w:t>Migration has actually gained considerable relevance both in national and European political agendas and in general public debate. The migratory phenomenon, as well as its humanitarian and health relevance, is presented nowadays as a challenge for national and supranational governments, which needs coordinated responses to ensure citizens' security (Coppola &amp; Macioti, 2017). The issue of security is also related to the terrorist attacks of religious matrix perpetrated on western countries since the beginning of the new millennium that have shaken public opinion, highlighting the issue of freedom of movement and residence for people within the European</w:t>
      </w:r>
      <w:r>
        <w:rPr>
          <w:spacing w:val="-2"/>
        </w:rPr>
        <w:t> </w:t>
      </w:r>
      <w:r>
        <w:rPr/>
        <w:t>Union.</w:t>
      </w:r>
    </w:p>
    <w:p>
      <w:pPr>
        <w:pStyle w:val="BodyText"/>
        <w:ind w:left="588" w:right="582" w:firstLine="283"/>
        <w:jc w:val="both"/>
      </w:pPr>
      <w:r>
        <w:rPr/>
        <w:t>During the presidential elections in France, the populist rhetoric had largely exploited the perception of the freedom of movement as a risk factor, taking advantage of this issue in the political propaganda. The </w:t>
      </w:r>
      <w:r>
        <w:rPr>
          <w:i/>
        </w:rPr>
        <w:t>Front National</w:t>
      </w:r>
      <w:r>
        <w:rPr/>
        <w:t>, a far-right party led by Marine Le Pen, who was considered one of the favourite presidential candidates, quadrupled its consensus getting 25% of the vote in the European elections of 2014, focusing its political campaign on topics such as border closure and exiting from the EU.</w:t>
      </w:r>
    </w:p>
    <w:p>
      <w:pPr>
        <w:pStyle w:val="BodyText"/>
        <w:ind w:left="588" w:right="581" w:firstLine="283"/>
        <w:jc w:val="both"/>
      </w:pPr>
      <w:r>
        <w:rPr/>
        <w:t>In recent years, social media analysis has become a fast and cheap device, compared to the traditional survey, to explore the political and electoral opinions and sentiments of citizens. Moreover, social network analysis was used for several purposes, such as demonstrations and revolt organization, the engagement of individuals in mobilization, and the construction of social movements and political parties (e.g. the </w:t>
      </w:r>
      <w:r>
        <w:rPr>
          <w:i/>
        </w:rPr>
        <w:t>Cinque Stelle </w:t>
      </w:r>
      <w:r>
        <w:rPr/>
        <w:t>Italian political party). For this reason, social media and social network sites, like Facebook and Twitter, have started to play a growing role in real-world politics (Ceron, Curini, Iacus &amp; Porro, 2014).</w:t>
      </w:r>
    </w:p>
    <w:p>
      <w:pPr>
        <w:pStyle w:val="BodyText"/>
        <w:ind w:left="588" w:right="584" w:firstLine="283"/>
        <w:jc w:val="both"/>
      </w:pPr>
      <w:r>
        <w:rPr/>
        <w:t>The wide diffusion of the internet increases the opportunity for millions of people to surf the web, create account profiles and search or share information daily. The constant rise in the number of users of social media platforms, such as Twitter, make a large amount of data available that represents one of the primary</w:t>
      </w:r>
    </w:p>
    <w:p>
      <w:pPr>
        <w:spacing w:after="0"/>
        <w:jc w:val="both"/>
        <w:sectPr>
          <w:type w:val="continuous"/>
          <w:pgSz w:w="11910" w:h="16840"/>
          <w:pgMar w:top="1580" w:bottom="280" w:left="1680" w:right="1680"/>
        </w:sectPr>
      </w:pPr>
    </w:p>
    <w:p>
      <w:pPr>
        <w:pStyle w:val="BodyText"/>
        <w:rPr>
          <w:sz w:val="13"/>
        </w:rPr>
      </w:pPr>
    </w:p>
    <w:p>
      <w:pPr>
        <w:pStyle w:val="BodyText"/>
        <w:spacing w:before="91"/>
        <w:ind w:left="588" w:right="582"/>
        <w:jc w:val="both"/>
      </w:pPr>
      <w:r>
        <w:rPr/>
        <w:t>sources to explore people’s opinions, sentiments, and emotions (Ceron, Curini &amp; Iacus, 2013; Pelagalli, Greco &amp; De Santis, 2017). Therefore, texts can be analysed in order to explain and anticipate the dynamics of different events, such as stock market activity, elections, etc. (e.g., Schoen et al., 2013; Ceron, Curini, Iacus &amp; Porro, 2014), potentially producing useful results applicable in different contexts. There are a variety of procedures used to extract such information from different types of textual data focusing on several procedures as shown by the literature (Reinert, 1983; Halfon et al., 2016; Hopkins and King, 2010; Ceron, Curini &amp; Iacus, 2016; Pelagalli, Greco &amp; De Santis, 2017).</w:t>
      </w:r>
    </w:p>
    <w:p>
      <w:pPr>
        <w:pStyle w:val="BodyText"/>
        <w:spacing w:before="2"/>
        <w:ind w:left="588" w:right="583" w:firstLine="283"/>
        <w:jc w:val="both"/>
      </w:pPr>
      <w:r>
        <w:rPr/>
        <w:t>In this paper, we analyse the sentiment about migration in social media during the French presidential campaign of 2017. We perform an emotional text mining (Cordella, Greco &amp; Raso, 2014; Greco, 2016; Pelagalli, Greco &amp; De Santis, 2017) in order to explore the emotional content of the Twitter messages concerning migration written in French in the last two weeks before the first round of the presidential election on April 23th, 2017. The aim is to analyse the opinions, feelings and shared comments, classifying the contents and measuring the sentiments. This procedure allows for the detection of the emotional representation of migration emerging from tweets in the pre-election period.</w:t>
      </w:r>
    </w:p>
    <w:p>
      <w:pPr>
        <w:pStyle w:val="BodyText"/>
        <w:ind w:left="588" w:right="586" w:firstLine="283"/>
        <w:jc w:val="both"/>
      </w:pPr>
      <w:r>
        <w:rPr/>
        <w:t>The paper is composed of 5 sections, as follows: in section 2, we describe the methodology of the emotional text mining; in section 3, we describe the collection and analysis of data; in section 4, we illustrate the main results; in section 5, we discuss the conclusions.</w:t>
      </w:r>
    </w:p>
    <w:p>
      <w:pPr>
        <w:pStyle w:val="BodyText"/>
        <w:rPr>
          <w:sz w:val="24"/>
        </w:rPr>
      </w:pPr>
    </w:p>
    <w:p>
      <w:pPr>
        <w:pStyle w:val="BodyText"/>
        <w:spacing w:before="4"/>
        <w:rPr>
          <w:sz w:val="20"/>
        </w:rPr>
      </w:pPr>
    </w:p>
    <w:p>
      <w:pPr>
        <w:pStyle w:val="Heading1"/>
        <w:numPr>
          <w:ilvl w:val="0"/>
          <w:numId w:val="1"/>
        </w:numPr>
        <w:tabs>
          <w:tab w:pos="872" w:val="left" w:leader="none"/>
        </w:tabs>
        <w:spacing w:line="240" w:lineRule="auto" w:before="0" w:after="0"/>
        <w:ind w:left="871" w:right="0" w:hanging="283"/>
        <w:jc w:val="left"/>
      </w:pPr>
      <w:r>
        <w:rPr/>
        <w:t>The emotional text mining</w:t>
      </w:r>
      <w:r>
        <w:rPr>
          <w:spacing w:val="-1"/>
        </w:rPr>
        <w:t> </w:t>
      </w:r>
      <w:r>
        <w:rPr/>
        <w:t>methodology</w:t>
      </w:r>
    </w:p>
    <w:p>
      <w:pPr>
        <w:pStyle w:val="BodyText"/>
        <w:spacing w:before="7"/>
        <w:rPr>
          <w:b/>
          <w:sz w:val="21"/>
        </w:rPr>
      </w:pPr>
    </w:p>
    <w:p>
      <w:pPr>
        <w:pStyle w:val="BodyText"/>
        <w:spacing w:before="1"/>
        <w:ind w:left="588" w:right="581" w:firstLine="283"/>
        <w:jc w:val="both"/>
      </w:pPr>
      <w:r>
        <w:rPr/>
        <w:t>We know that a person's behaviour depends not only on their rationale thinking but also, and sometimes most of all, on their emotional and social way of mental functioning (Carli, 1990; Moscovici, 2005). That is, people consciously categorize reality and, at the same time, unconsciously symbolize it emotionally (Fornari, 1976). These two thinking processes are the product of the double-logic way of the functioning of the mind (Matte Blanco, 1981) which allows people to adapt to their social environment. According to this socio-constructivist approach based on a psychodynamic model, the unconscious processes are social, as people generate interactively and share the same emotional meanings. The socially shared emotional symbolization sets the interactions, behaviours, attitude, expectation and communication processes, and for this reason, the analysis of the narrations allows for the acquisition of the latent emotional meaning of the text (Salvatore &amp; Freda, 2011).</w:t>
      </w:r>
    </w:p>
    <w:p>
      <w:pPr>
        <w:spacing w:after="0"/>
        <w:jc w:val="both"/>
        <w:sectPr>
          <w:headerReference w:type="even" r:id="rId5"/>
          <w:headerReference w:type="default" r:id="rId6"/>
          <w:pgSz w:w="11910" w:h="16840"/>
          <w:pgMar w:header="2838" w:footer="0" w:top="3040" w:bottom="280" w:left="1680" w:right="1680"/>
          <w:pgNumType w:start="2"/>
        </w:sectPr>
      </w:pPr>
    </w:p>
    <w:p>
      <w:pPr>
        <w:pStyle w:val="BodyText"/>
        <w:rPr>
          <w:sz w:val="13"/>
        </w:rPr>
      </w:pPr>
    </w:p>
    <w:p>
      <w:pPr>
        <w:pStyle w:val="BodyText"/>
        <w:spacing w:before="91"/>
        <w:ind w:left="588" w:right="582" w:firstLine="283"/>
        <w:jc w:val="both"/>
      </w:pPr>
      <w:r>
        <w:rPr/>
        <w:t>If the conscious process sets the manifest content of the narration, that is </w:t>
      </w:r>
      <w:r>
        <w:rPr>
          <w:i/>
        </w:rPr>
        <w:t>what </w:t>
      </w:r>
      <w:r>
        <w:rPr/>
        <w:t>is narrated, the unconscious process can be inferred through </w:t>
      </w:r>
      <w:r>
        <w:rPr>
          <w:i/>
        </w:rPr>
        <w:t>how </w:t>
      </w:r>
      <w:r>
        <w:rPr/>
        <w:t>it is narrated, that is, the words chosen to narrate and their association within the text. We consider that people emotionally symbolize an event, or an object, and socially share this symbolisation. The words they choose to talk about this event, or object, is the product of the socially-shared unconscious symbolization (Greco, 2016).</w:t>
      </w:r>
    </w:p>
    <w:p>
      <w:pPr>
        <w:pStyle w:val="BodyText"/>
        <w:ind w:left="588" w:right="582" w:firstLine="396"/>
        <w:jc w:val="both"/>
      </w:pPr>
      <w:r>
        <w:rPr/>
        <w:t>According to this, it is possible to detect the associative links between the words to infer the symbolic matrix determining the coexistence of these terms in the text. To this aim, we perform a multivariate analysis based on a bisecting </w:t>
      </w:r>
      <w:r>
        <w:rPr>
          <w:i/>
        </w:rPr>
        <w:t>k</w:t>
      </w:r>
      <w:r>
        <w:rPr/>
        <w:t>- means algorithm (Savaresi &amp; Boley, 2004) to classify the text, and a correspondence analysis (Lebart, Salem &amp; Berry, 1997; Bolasco, 2013) to detect the latent dimensions setting the cluster per keywords matrix. The interpretation of the cluster analysis results allows for the identification of the elements characterizing the emotional representation of the migrants, while the results of correspondence analysis reflect its emotional symbolization (Cordella, Greco &amp; Raso, 2014; Greco, 2016; Pelagalli, Greco &amp; De Santis, 2017). The advantage connected with this approach is to interpret the factorial space according to words polarization, thus identifying the emotional categories that generate migration representations, and to facilitate the interpretation of clusters, exploring their relationship within the symbolic</w:t>
      </w:r>
      <w:r>
        <w:rPr>
          <w:spacing w:val="-2"/>
        </w:rPr>
        <w:t> </w:t>
      </w:r>
      <w:r>
        <w:rPr/>
        <w:t>space.</w:t>
      </w:r>
    </w:p>
    <w:p>
      <w:pPr>
        <w:pStyle w:val="BodyText"/>
        <w:rPr>
          <w:sz w:val="24"/>
        </w:rPr>
      </w:pPr>
    </w:p>
    <w:p>
      <w:pPr>
        <w:pStyle w:val="BodyText"/>
        <w:spacing w:before="6"/>
        <w:rPr>
          <w:sz w:val="20"/>
        </w:rPr>
      </w:pPr>
    </w:p>
    <w:p>
      <w:pPr>
        <w:pStyle w:val="Heading1"/>
        <w:numPr>
          <w:ilvl w:val="0"/>
          <w:numId w:val="1"/>
        </w:numPr>
        <w:tabs>
          <w:tab w:pos="872" w:val="left" w:leader="none"/>
        </w:tabs>
        <w:spacing w:line="240" w:lineRule="auto" w:before="0" w:after="0"/>
        <w:ind w:left="871" w:right="0" w:hanging="283"/>
        <w:jc w:val="left"/>
      </w:pPr>
      <w:r>
        <w:rPr/>
        <w:t>Data collection and</w:t>
      </w:r>
      <w:r>
        <w:rPr>
          <w:spacing w:val="-4"/>
        </w:rPr>
        <w:t> </w:t>
      </w:r>
      <w:r>
        <w:rPr/>
        <w:t>analysis</w:t>
      </w:r>
    </w:p>
    <w:p>
      <w:pPr>
        <w:pStyle w:val="BodyText"/>
        <w:spacing w:before="7"/>
        <w:rPr>
          <w:b/>
          <w:sz w:val="21"/>
        </w:rPr>
      </w:pPr>
    </w:p>
    <w:p>
      <w:pPr>
        <w:pStyle w:val="BodyText"/>
        <w:ind w:left="588" w:right="584" w:firstLine="283"/>
        <w:jc w:val="both"/>
      </w:pPr>
      <w:r>
        <w:rPr/>
        <w:t>In order to explore the sentiment on migration in Twitter communications in the period immediately preceding the first round of the French presidential elections, we scraped all the messages in French produced from April 10</w:t>
      </w:r>
      <w:r>
        <w:rPr>
          <w:vertAlign w:val="superscript"/>
        </w:rPr>
        <w:t>th</w:t>
      </w:r>
      <w:r>
        <w:rPr>
          <w:vertAlign w:val="baseline"/>
        </w:rPr>
        <w:t> to April 22</w:t>
      </w:r>
      <w:r>
        <w:rPr>
          <w:vertAlign w:val="superscript"/>
        </w:rPr>
        <w:t>nd</w:t>
      </w:r>
      <w:r>
        <w:rPr>
          <w:vertAlign w:val="baseline"/>
        </w:rPr>
        <w:t>, 2017, containing the word "migration", "migrant" or "migrants", from the Twitter repository. The data extraction was carried out with the twitteR package of R Statistics (Gentry, 2016).</w:t>
      </w:r>
    </w:p>
    <w:p>
      <w:pPr>
        <w:pStyle w:val="BodyText"/>
        <w:ind w:left="588" w:right="584" w:firstLine="283"/>
        <w:jc w:val="both"/>
      </w:pPr>
      <w:r>
        <w:rPr/>
        <w:t>The sample of 111.767 tweets was made up of 77,7% of retweets, and resulted in a large corpus of 2.154.194 tokens. In order to check whether it was possible to statistically process data, two lexical indicators were calculated: the type-token ratio and the percentage of hapax (TTR = 0,01; Hapax percentage = 40,4). According to the large size of the corpus, both lexical indicators highlight its richness and indicate the possibility of proceeding with the</w:t>
      </w:r>
      <w:r>
        <w:rPr>
          <w:spacing w:val="-18"/>
        </w:rPr>
        <w:t> </w:t>
      </w:r>
      <w:r>
        <w:rPr/>
        <w:t>analysis.</w:t>
      </w:r>
    </w:p>
    <w:p>
      <w:pPr>
        <w:pStyle w:val="BodyText"/>
        <w:spacing w:before="1"/>
        <w:ind w:left="588" w:right="582" w:firstLine="283"/>
        <w:jc w:val="both"/>
      </w:pPr>
      <w:r>
        <w:rPr/>
        <w:t>First, data were cleaned and pre-processed with the software T-Lab (Lancia, 2017) and keywords selected. In particular, we used lemmas as keywords instead  of type, filtering out the lemma “migrant” and those of the low rank of frequency (Greco,</w:t>
      </w:r>
      <w:r>
        <w:rPr>
          <w:spacing w:val="22"/>
        </w:rPr>
        <w:t> </w:t>
      </w:r>
      <w:r>
        <w:rPr/>
        <w:t>2016).</w:t>
      </w:r>
      <w:r>
        <w:rPr>
          <w:spacing w:val="23"/>
        </w:rPr>
        <w:t> </w:t>
      </w:r>
      <w:r>
        <w:rPr/>
        <w:t>Then,</w:t>
      </w:r>
      <w:r>
        <w:rPr>
          <w:spacing w:val="22"/>
        </w:rPr>
        <w:t> </w:t>
      </w:r>
      <w:r>
        <w:rPr/>
        <w:t>on</w:t>
      </w:r>
      <w:r>
        <w:rPr>
          <w:spacing w:val="20"/>
        </w:rPr>
        <w:t> </w:t>
      </w:r>
      <w:r>
        <w:rPr/>
        <w:t>the</w:t>
      </w:r>
      <w:r>
        <w:rPr>
          <w:spacing w:val="22"/>
        </w:rPr>
        <w:t> </w:t>
      </w:r>
      <w:r>
        <w:rPr/>
        <w:t>tweets</w:t>
      </w:r>
      <w:r>
        <w:rPr>
          <w:spacing w:val="22"/>
        </w:rPr>
        <w:t> </w:t>
      </w:r>
      <w:r>
        <w:rPr/>
        <w:t>per</w:t>
      </w:r>
      <w:r>
        <w:rPr>
          <w:spacing w:val="22"/>
        </w:rPr>
        <w:t> </w:t>
      </w:r>
      <w:r>
        <w:rPr/>
        <w:t>keywords</w:t>
      </w:r>
      <w:r>
        <w:rPr>
          <w:spacing w:val="22"/>
        </w:rPr>
        <w:t> </w:t>
      </w:r>
      <w:r>
        <w:rPr/>
        <w:t>matrix,</w:t>
      </w:r>
      <w:r>
        <w:rPr>
          <w:spacing w:val="22"/>
        </w:rPr>
        <w:t> </w:t>
      </w:r>
      <w:r>
        <w:rPr/>
        <w:t>we</w:t>
      </w:r>
      <w:r>
        <w:rPr>
          <w:spacing w:val="22"/>
        </w:rPr>
        <w:t> </w:t>
      </w:r>
      <w:r>
        <w:rPr/>
        <w:t>performed</w:t>
      </w:r>
      <w:r>
        <w:rPr>
          <w:spacing w:val="23"/>
        </w:rPr>
        <w:t> </w:t>
      </w:r>
      <w:r>
        <w:rPr/>
        <w:t>a</w:t>
      </w:r>
      <w:r>
        <w:rPr>
          <w:spacing w:val="22"/>
        </w:rPr>
        <w:t> </w:t>
      </w:r>
      <w:r>
        <w:rPr/>
        <w:t>cluster</w:t>
      </w:r>
    </w:p>
    <w:p>
      <w:pPr>
        <w:spacing w:after="0"/>
        <w:jc w:val="both"/>
        <w:sectPr>
          <w:pgSz w:w="11910" w:h="16840"/>
          <w:pgMar w:header="2838" w:footer="0" w:top="3040" w:bottom="280" w:left="1680" w:right="1680"/>
        </w:sectPr>
      </w:pPr>
    </w:p>
    <w:p>
      <w:pPr>
        <w:pStyle w:val="BodyText"/>
        <w:rPr>
          <w:sz w:val="13"/>
        </w:rPr>
      </w:pPr>
    </w:p>
    <w:p>
      <w:pPr>
        <w:pStyle w:val="BodyText"/>
        <w:spacing w:before="91"/>
        <w:ind w:left="588" w:right="582"/>
        <w:jc w:val="both"/>
      </w:pPr>
      <w:r>
        <w:rPr/>
        <w:t>analysis with a bisecting </w:t>
      </w:r>
      <w:r>
        <w:rPr>
          <w:i/>
        </w:rPr>
        <w:t>k</w:t>
      </w:r>
      <w:r>
        <w:rPr/>
        <w:t>-means algorithm (Savaresi &amp; Boley, 2004) limited to ten partitions, excluding all the tweets that did not have at least two keywords co- occurrence. The eta squared value was used to evaluate and choose the optimal solution. To finalize the analysis, a correspondence analysis on the keywords per clusters matrix was made (Lebart, Salem &amp; Berry, 1997) in order to explore the relationship between clusters, and to identify the emotional categories setting migrant’s representations (see paragraph</w:t>
      </w:r>
      <w:r>
        <w:rPr>
          <w:spacing w:val="0"/>
        </w:rPr>
        <w:t> </w:t>
      </w:r>
      <w:r>
        <w:rPr/>
        <w:t>2).</w:t>
      </w:r>
    </w:p>
    <w:p>
      <w:pPr>
        <w:pStyle w:val="BodyText"/>
        <w:rPr>
          <w:sz w:val="24"/>
        </w:rPr>
      </w:pPr>
    </w:p>
    <w:p>
      <w:pPr>
        <w:pStyle w:val="BodyText"/>
        <w:spacing w:before="6"/>
        <w:rPr>
          <w:sz w:val="20"/>
        </w:rPr>
      </w:pPr>
    </w:p>
    <w:p>
      <w:pPr>
        <w:pStyle w:val="Heading1"/>
        <w:numPr>
          <w:ilvl w:val="0"/>
          <w:numId w:val="1"/>
        </w:numPr>
        <w:tabs>
          <w:tab w:pos="872" w:val="left" w:leader="none"/>
        </w:tabs>
        <w:spacing w:line="240" w:lineRule="auto" w:before="0" w:after="0"/>
        <w:ind w:left="871" w:right="0" w:hanging="283"/>
        <w:jc w:val="left"/>
      </w:pPr>
      <w:r>
        <w:rPr/>
        <w:t>Main results and</w:t>
      </w:r>
      <w:r>
        <w:rPr>
          <w:spacing w:val="-4"/>
        </w:rPr>
        <w:t> </w:t>
      </w:r>
      <w:r>
        <w:rPr/>
        <w:t>discussion</w:t>
      </w:r>
    </w:p>
    <w:p>
      <w:pPr>
        <w:pStyle w:val="BodyText"/>
        <w:spacing w:before="5"/>
        <w:rPr>
          <w:b/>
          <w:sz w:val="21"/>
        </w:rPr>
      </w:pPr>
    </w:p>
    <w:p>
      <w:pPr>
        <w:pStyle w:val="BodyText"/>
        <w:ind w:left="588" w:right="582" w:firstLine="283"/>
        <w:jc w:val="both"/>
      </w:pPr>
      <w:r>
        <w:rPr/>
        <w:t>The number of messages produced in the period from April 10</w:t>
      </w:r>
      <w:r>
        <w:rPr>
          <w:vertAlign w:val="superscript"/>
        </w:rPr>
        <w:t>th</w:t>
      </w:r>
      <w:r>
        <w:rPr>
          <w:vertAlign w:val="baseline"/>
        </w:rPr>
        <w:t> to April 22</w:t>
      </w:r>
      <w:r>
        <w:rPr>
          <w:vertAlign w:val="superscript"/>
        </w:rPr>
        <w:t>nd</w:t>
      </w:r>
      <w:r>
        <w:rPr>
          <w:vertAlign w:val="baseline"/>
        </w:rPr>
        <w:t>, 2017 changed over the time. As shown in figure 1, there are two peaks in the distribution that correspond to two relevant events connected to the presidential campaign. The first was on April 11</w:t>
      </w:r>
      <w:r>
        <w:rPr>
          <w:vertAlign w:val="superscript"/>
        </w:rPr>
        <w:t>th</w:t>
      </w:r>
      <w:r>
        <w:rPr>
          <w:vertAlign w:val="baseline"/>
        </w:rPr>
        <w:t> in an interview when Mélenchon, president of the far-left wing political party </w:t>
      </w:r>
      <w:r>
        <w:rPr>
          <w:i/>
          <w:vertAlign w:val="baseline"/>
        </w:rPr>
        <w:t>La France Insoumise </w:t>
      </w:r>
      <w:r>
        <w:rPr>
          <w:vertAlign w:val="baseline"/>
        </w:rPr>
        <w:t>and one of the four favourite candidates to the presidential election, suggested the possibility of  hosting immigrants in French historical buildings. This proposal shocked public opinion, and probably was used in the electoral debates in the days following. The second peak was the day before the election, on April 22</w:t>
      </w:r>
      <w:r>
        <w:rPr>
          <w:vertAlign w:val="superscript"/>
        </w:rPr>
        <w:t>nd</w:t>
      </w:r>
      <w:r>
        <w:rPr>
          <w:vertAlign w:val="baseline"/>
        </w:rPr>
        <w:t>, when all the candidates could perform their last electoral discourses before the vote, as during the vote it is forbidden to publicly comment on the presidential</w:t>
      </w:r>
      <w:r>
        <w:rPr>
          <w:spacing w:val="-4"/>
          <w:vertAlign w:val="baseline"/>
        </w:rPr>
        <w:t> </w:t>
      </w:r>
      <w:r>
        <w:rPr>
          <w:vertAlign w:val="baseline"/>
        </w:rPr>
        <w:t>election.</w:t>
      </w:r>
    </w:p>
    <w:p>
      <w:pPr>
        <w:spacing w:before="124"/>
        <w:ind w:left="588" w:right="0" w:firstLine="0"/>
        <w:jc w:val="left"/>
        <w:rPr>
          <w:i/>
          <w:sz w:val="20"/>
        </w:rPr>
      </w:pPr>
      <w:r>
        <w:rPr/>
        <w:drawing>
          <wp:anchor distT="0" distB="0" distL="0" distR="0" allowOverlap="1" layoutInCell="1" locked="0" behindDoc="0" simplePos="0" relativeHeight="1048">
            <wp:simplePos x="0" y="0"/>
            <wp:positionH relativeFrom="page">
              <wp:posOffset>1678945</wp:posOffset>
            </wp:positionH>
            <wp:positionV relativeFrom="paragraph">
              <wp:posOffset>312213</wp:posOffset>
            </wp:positionV>
            <wp:extent cx="4260431" cy="1548384"/>
            <wp:effectExtent l="0" t="0" r="0" b="0"/>
            <wp:wrapTopAndBottom/>
            <wp:docPr id="1" name="image1.jpeg" descr=""/>
            <wp:cNvGraphicFramePr>
              <a:graphicFrameLocks noChangeAspect="1"/>
            </wp:cNvGraphicFramePr>
            <a:graphic>
              <a:graphicData uri="http://schemas.openxmlformats.org/drawingml/2006/picture">
                <pic:pic>
                  <pic:nvPicPr>
                    <pic:cNvPr id="2" name="image1.jpeg"/>
                    <pic:cNvPicPr/>
                  </pic:nvPicPr>
                  <pic:blipFill>
                    <a:blip r:embed="rId7" cstate="print"/>
                    <a:stretch>
                      <a:fillRect/>
                    </a:stretch>
                  </pic:blipFill>
                  <pic:spPr>
                    <a:xfrm>
                      <a:off x="0" y="0"/>
                      <a:ext cx="4260431" cy="1548384"/>
                    </a:xfrm>
                    <a:prstGeom prst="rect">
                      <a:avLst/>
                    </a:prstGeom>
                  </pic:spPr>
                </pic:pic>
              </a:graphicData>
            </a:graphic>
          </wp:anchor>
        </w:drawing>
      </w:r>
      <w:r>
        <w:rPr>
          <w:b/>
          <w:sz w:val="20"/>
        </w:rPr>
        <w:t>Figure 1 </w:t>
      </w:r>
      <w:r>
        <w:rPr>
          <w:rFonts w:ascii="Symbol" w:hAnsi="Symbol"/>
          <w:b/>
          <w:sz w:val="20"/>
        </w:rPr>
        <w:t></w:t>
      </w:r>
      <w:r>
        <w:rPr>
          <w:b/>
          <w:sz w:val="20"/>
        </w:rPr>
        <w:t> </w:t>
      </w:r>
      <w:r>
        <w:rPr>
          <w:i/>
          <w:sz w:val="20"/>
        </w:rPr>
        <w:t>Number of tweets collected per day from April 10th to April 22nd, 2017</w:t>
      </w:r>
    </w:p>
    <w:p>
      <w:pPr>
        <w:pStyle w:val="BodyText"/>
        <w:spacing w:before="206"/>
        <w:ind w:left="588" w:right="582" w:firstLine="283"/>
        <w:jc w:val="both"/>
      </w:pPr>
      <w:r>
        <w:rPr/>
        <w:t>In the evening, three days before the election, there were two small peaks of messages: the first after a terrorist attack where a policeman was killed at Champs Elysée in Paris, and two hours later, when the President commented on the event (figure 2). It is interesting to note that Twitter’s users produced a very small number of messages with the term </w:t>
      </w:r>
      <w:r>
        <w:rPr>
          <w:i/>
        </w:rPr>
        <w:t>migrant </w:t>
      </w:r>
      <w:r>
        <w:rPr/>
        <w:t>after the</w:t>
      </w:r>
      <w:r>
        <w:rPr>
          <w:spacing w:val="-7"/>
        </w:rPr>
        <w:t> </w:t>
      </w:r>
      <w:r>
        <w:rPr/>
        <w:t>attack.</w:t>
      </w:r>
    </w:p>
    <w:p>
      <w:pPr>
        <w:spacing w:after="0"/>
        <w:jc w:val="both"/>
        <w:sectPr>
          <w:pgSz w:w="11910" w:h="16840"/>
          <w:pgMar w:header="2838" w:footer="0" w:top="3040" w:bottom="280" w:left="1680" w:right="1680"/>
        </w:sectPr>
      </w:pPr>
    </w:p>
    <w:p>
      <w:pPr>
        <w:pStyle w:val="BodyText"/>
        <w:spacing w:before="5"/>
        <w:rPr>
          <w:sz w:val="12"/>
        </w:rPr>
      </w:pPr>
    </w:p>
    <w:p>
      <w:pPr>
        <w:spacing w:line="237" w:lineRule="auto" w:before="102"/>
        <w:ind w:left="1579" w:right="728" w:hanging="992"/>
        <w:jc w:val="left"/>
        <w:rPr>
          <w:i/>
          <w:sz w:val="20"/>
        </w:rPr>
      </w:pPr>
      <w:r>
        <w:rPr/>
        <w:drawing>
          <wp:anchor distT="0" distB="0" distL="0" distR="0" allowOverlap="1" layoutInCell="1" locked="0" behindDoc="0" simplePos="0" relativeHeight="1072">
            <wp:simplePos x="0" y="0"/>
            <wp:positionH relativeFrom="page">
              <wp:posOffset>1589405</wp:posOffset>
            </wp:positionH>
            <wp:positionV relativeFrom="paragraph">
              <wp:posOffset>443905</wp:posOffset>
            </wp:positionV>
            <wp:extent cx="4369822" cy="2010346"/>
            <wp:effectExtent l="0" t="0" r="0" b="0"/>
            <wp:wrapTopAndBottom/>
            <wp:docPr id="3" name="image2.png" descr=""/>
            <wp:cNvGraphicFramePr>
              <a:graphicFrameLocks noChangeAspect="1"/>
            </wp:cNvGraphicFramePr>
            <a:graphic>
              <a:graphicData uri="http://schemas.openxmlformats.org/drawingml/2006/picture">
                <pic:pic>
                  <pic:nvPicPr>
                    <pic:cNvPr id="4" name="image2.png"/>
                    <pic:cNvPicPr/>
                  </pic:nvPicPr>
                  <pic:blipFill>
                    <a:blip r:embed="rId8" cstate="print"/>
                    <a:stretch>
                      <a:fillRect/>
                    </a:stretch>
                  </pic:blipFill>
                  <pic:spPr>
                    <a:xfrm>
                      <a:off x="0" y="0"/>
                      <a:ext cx="4369822" cy="2010346"/>
                    </a:xfrm>
                    <a:prstGeom prst="rect">
                      <a:avLst/>
                    </a:prstGeom>
                  </pic:spPr>
                </pic:pic>
              </a:graphicData>
            </a:graphic>
          </wp:anchor>
        </w:drawing>
      </w:r>
      <w:r>
        <w:rPr>
          <w:b/>
          <w:sz w:val="20"/>
        </w:rPr>
        <w:t>Figure 2 </w:t>
      </w:r>
      <w:r>
        <w:rPr>
          <w:rFonts w:ascii="Symbol" w:hAnsi="Symbol"/>
          <w:b/>
          <w:sz w:val="20"/>
        </w:rPr>
        <w:t></w:t>
      </w:r>
      <w:r>
        <w:rPr>
          <w:b/>
          <w:sz w:val="20"/>
        </w:rPr>
        <w:t> </w:t>
      </w:r>
      <w:r>
        <w:rPr>
          <w:i/>
          <w:sz w:val="20"/>
        </w:rPr>
        <w:t>Number of tweets produced from 8pm to 10pm on April 20th, 2017, time of the </w:t>
      </w:r>
      <w:r>
        <w:rPr>
          <w:i/>
          <w:sz w:val="20"/>
        </w:rPr>
        <w:t>terrorist attack in Paris.</w:t>
      </w:r>
    </w:p>
    <w:p>
      <w:pPr>
        <w:pStyle w:val="BodyText"/>
        <w:spacing w:before="1"/>
        <w:rPr>
          <w:i/>
          <w:sz w:val="19"/>
        </w:rPr>
      </w:pPr>
    </w:p>
    <w:p>
      <w:pPr>
        <w:pStyle w:val="BodyText"/>
        <w:ind w:left="588" w:right="584" w:firstLine="283"/>
        <w:jc w:val="both"/>
      </w:pPr>
      <w:r>
        <w:rPr/>
        <w:t>The results of the cluster analysis show that the keywords selection criteria allow the classification of 89,8% of the tweets. The eta squared value was calculated on partitions from 3 to 9, and it shows that the optimal solution is seven clusters (η</w:t>
      </w:r>
      <w:r>
        <w:rPr>
          <w:vertAlign w:val="superscript"/>
        </w:rPr>
        <w:t>2</w:t>
      </w:r>
      <w:r>
        <w:rPr>
          <w:vertAlign w:val="baseline"/>
        </w:rPr>
        <w:t> = 0,57). The correspondence analysis detected six latent dimensions, and the explained inertia for each factor is reported in table</w:t>
      </w:r>
      <w:r>
        <w:rPr>
          <w:spacing w:val="-11"/>
          <w:vertAlign w:val="baseline"/>
        </w:rPr>
        <w:t> </w:t>
      </w:r>
      <w:r>
        <w:rPr>
          <w:vertAlign w:val="baseline"/>
        </w:rPr>
        <w:t>1.</w:t>
      </w:r>
    </w:p>
    <w:p>
      <w:pPr>
        <w:pStyle w:val="BodyText"/>
        <w:spacing w:before="1"/>
        <w:rPr>
          <w:sz w:val="21"/>
        </w:rPr>
      </w:pPr>
    </w:p>
    <w:p>
      <w:pPr>
        <w:spacing w:before="0"/>
        <w:ind w:left="588" w:right="0" w:firstLine="0"/>
        <w:jc w:val="left"/>
        <w:rPr>
          <w:i/>
          <w:sz w:val="20"/>
        </w:rPr>
      </w:pPr>
      <w:r>
        <w:rPr>
          <w:b/>
          <w:sz w:val="20"/>
        </w:rPr>
        <w:t>Table 1 </w:t>
      </w:r>
      <w:r>
        <w:rPr>
          <w:rFonts w:ascii="Symbol" w:hAnsi="Symbol"/>
          <w:b/>
          <w:sz w:val="20"/>
        </w:rPr>
        <w:t></w:t>
      </w:r>
      <w:r>
        <w:rPr>
          <w:b/>
          <w:sz w:val="20"/>
        </w:rPr>
        <w:t> </w:t>
      </w:r>
      <w:r>
        <w:rPr>
          <w:i/>
          <w:sz w:val="20"/>
        </w:rPr>
        <w:t>Explained inertia for each factor.</w:t>
      </w:r>
    </w:p>
    <w:p>
      <w:pPr>
        <w:pStyle w:val="BodyText"/>
        <w:spacing w:before="9"/>
        <w:rPr>
          <w:i/>
          <w:sz w:val="10"/>
        </w:rPr>
      </w:pPr>
    </w:p>
    <w:tbl>
      <w:tblPr>
        <w:tblW w:w="0" w:type="auto"/>
        <w:jc w:val="left"/>
        <w:tblInd w:w="2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18"/>
        <w:gridCol w:w="1598"/>
        <w:gridCol w:w="838"/>
        <w:gridCol w:w="969"/>
      </w:tblGrid>
      <w:tr>
        <w:trPr>
          <w:trHeight w:val="282" w:hRule="atLeast"/>
        </w:trPr>
        <w:tc>
          <w:tcPr>
            <w:tcW w:w="818" w:type="dxa"/>
            <w:tcBorders>
              <w:top w:val="single" w:sz="4" w:space="0" w:color="000000"/>
              <w:bottom w:val="single" w:sz="4" w:space="0" w:color="000000"/>
            </w:tcBorders>
          </w:tcPr>
          <w:p>
            <w:pPr>
              <w:pStyle w:val="TableParagraph"/>
              <w:spacing w:before="33"/>
              <w:ind w:left="69"/>
              <w:rPr>
                <w:sz w:val="18"/>
              </w:rPr>
            </w:pPr>
            <w:r>
              <w:rPr>
                <w:sz w:val="18"/>
              </w:rPr>
              <w:t>Factor</w:t>
            </w:r>
          </w:p>
        </w:tc>
        <w:tc>
          <w:tcPr>
            <w:tcW w:w="1598" w:type="dxa"/>
            <w:tcBorders>
              <w:top w:val="single" w:sz="4" w:space="0" w:color="000000"/>
              <w:bottom w:val="single" w:sz="4" w:space="0" w:color="000000"/>
            </w:tcBorders>
          </w:tcPr>
          <w:p>
            <w:pPr>
              <w:pStyle w:val="TableParagraph"/>
              <w:spacing w:before="33"/>
              <w:ind w:left="336"/>
              <w:rPr>
                <w:sz w:val="18"/>
              </w:rPr>
            </w:pPr>
            <w:r>
              <w:rPr>
                <w:sz w:val="18"/>
              </w:rPr>
              <w:t>Eigenvalues</w:t>
            </w:r>
          </w:p>
        </w:tc>
        <w:tc>
          <w:tcPr>
            <w:tcW w:w="838" w:type="dxa"/>
            <w:tcBorders>
              <w:top w:val="single" w:sz="4" w:space="0" w:color="000000"/>
              <w:bottom w:val="single" w:sz="4" w:space="0" w:color="000000"/>
            </w:tcBorders>
          </w:tcPr>
          <w:p>
            <w:pPr>
              <w:pStyle w:val="TableParagraph"/>
              <w:spacing w:before="33"/>
              <w:ind w:left="536"/>
              <w:rPr>
                <w:sz w:val="18"/>
              </w:rPr>
            </w:pPr>
            <w:r>
              <w:rPr>
                <w:w w:val="99"/>
                <w:sz w:val="18"/>
              </w:rPr>
              <w:t>%</w:t>
            </w:r>
          </w:p>
        </w:tc>
        <w:tc>
          <w:tcPr>
            <w:tcW w:w="969" w:type="dxa"/>
            <w:tcBorders>
              <w:top w:val="single" w:sz="4" w:space="0" w:color="000000"/>
              <w:bottom w:val="single" w:sz="4" w:space="0" w:color="000000"/>
            </w:tcBorders>
          </w:tcPr>
          <w:p>
            <w:pPr>
              <w:pStyle w:val="TableParagraph"/>
              <w:spacing w:before="33"/>
              <w:ind w:left="156"/>
              <w:rPr>
                <w:sz w:val="18"/>
              </w:rPr>
            </w:pPr>
            <w:r>
              <w:rPr>
                <w:sz w:val="18"/>
              </w:rPr>
              <w:t>Cumul. %</w:t>
            </w:r>
          </w:p>
        </w:tc>
      </w:tr>
      <w:tr>
        <w:trPr>
          <w:trHeight w:val="205" w:hRule="atLeast"/>
        </w:trPr>
        <w:tc>
          <w:tcPr>
            <w:tcW w:w="818" w:type="dxa"/>
            <w:tcBorders>
              <w:top w:val="single" w:sz="4" w:space="0" w:color="000000"/>
            </w:tcBorders>
          </w:tcPr>
          <w:p>
            <w:pPr>
              <w:pStyle w:val="TableParagraph"/>
              <w:spacing w:line="185" w:lineRule="exact"/>
              <w:ind w:left="69"/>
              <w:rPr>
                <w:sz w:val="18"/>
              </w:rPr>
            </w:pPr>
            <w:r>
              <w:rPr>
                <w:sz w:val="18"/>
              </w:rPr>
              <w:t>1</w:t>
            </w:r>
          </w:p>
        </w:tc>
        <w:tc>
          <w:tcPr>
            <w:tcW w:w="1598" w:type="dxa"/>
            <w:tcBorders>
              <w:top w:val="single" w:sz="4" w:space="0" w:color="000000"/>
            </w:tcBorders>
          </w:tcPr>
          <w:p>
            <w:pPr>
              <w:pStyle w:val="TableParagraph"/>
              <w:spacing w:line="185" w:lineRule="exact"/>
              <w:ind w:left="833"/>
              <w:rPr>
                <w:sz w:val="18"/>
              </w:rPr>
            </w:pPr>
            <w:r>
              <w:rPr>
                <w:sz w:val="18"/>
              </w:rPr>
              <w:t>0,956</w:t>
            </w:r>
          </w:p>
        </w:tc>
        <w:tc>
          <w:tcPr>
            <w:tcW w:w="838" w:type="dxa"/>
            <w:tcBorders>
              <w:top w:val="single" w:sz="4" w:space="0" w:color="000000"/>
            </w:tcBorders>
          </w:tcPr>
          <w:p>
            <w:pPr>
              <w:pStyle w:val="TableParagraph"/>
              <w:spacing w:line="185" w:lineRule="exact"/>
              <w:ind w:left="361"/>
              <w:rPr>
                <w:sz w:val="18"/>
              </w:rPr>
            </w:pPr>
            <w:r>
              <w:rPr>
                <w:sz w:val="18"/>
              </w:rPr>
              <w:t>24,9</w:t>
            </w:r>
          </w:p>
        </w:tc>
        <w:tc>
          <w:tcPr>
            <w:tcW w:w="969" w:type="dxa"/>
            <w:tcBorders>
              <w:top w:val="single" w:sz="4" w:space="0" w:color="000000"/>
            </w:tcBorders>
          </w:tcPr>
          <w:p>
            <w:pPr>
              <w:pStyle w:val="TableParagraph"/>
              <w:spacing w:line="185" w:lineRule="exact"/>
              <w:ind w:right="62"/>
              <w:jc w:val="right"/>
              <w:rPr>
                <w:sz w:val="18"/>
              </w:rPr>
            </w:pPr>
            <w:r>
              <w:rPr>
                <w:sz w:val="18"/>
              </w:rPr>
              <w:t>24,9</w:t>
            </w:r>
          </w:p>
        </w:tc>
      </w:tr>
      <w:tr>
        <w:trPr>
          <w:trHeight w:val="207" w:hRule="atLeast"/>
        </w:trPr>
        <w:tc>
          <w:tcPr>
            <w:tcW w:w="818" w:type="dxa"/>
          </w:tcPr>
          <w:p>
            <w:pPr>
              <w:pStyle w:val="TableParagraph"/>
              <w:spacing w:line="188" w:lineRule="exact"/>
              <w:ind w:left="69"/>
              <w:rPr>
                <w:sz w:val="18"/>
              </w:rPr>
            </w:pPr>
            <w:r>
              <w:rPr>
                <w:sz w:val="18"/>
              </w:rPr>
              <w:t>2</w:t>
            </w:r>
          </w:p>
        </w:tc>
        <w:tc>
          <w:tcPr>
            <w:tcW w:w="1598" w:type="dxa"/>
          </w:tcPr>
          <w:p>
            <w:pPr>
              <w:pStyle w:val="TableParagraph"/>
              <w:spacing w:line="188" w:lineRule="exact"/>
              <w:ind w:left="833"/>
              <w:rPr>
                <w:sz w:val="18"/>
              </w:rPr>
            </w:pPr>
            <w:r>
              <w:rPr>
                <w:sz w:val="18"/>
              </w:rPr>
              <w:t>0,737</w:t>
            </w:r>
          </w:p>
        </w:tc>
        <w:tc>
          <w:tcPr>
            <w:tcW w:w="838" w:type="dxa"/>
          </w:tcPr>
          <w:p>
            <w:pPr>
              <w:pStyle w:val="TableParagraph"/>
              <w:spacing w:line="188" w:lineRule="exact"/>
              <w:ind w:left="361"/>
              <w:rPr>
                <w:sz w:val="18"/>
              </w:rPr>
            </w:pPr>
            <w:r>
              <w:rPr>
                <w:sz w:val="18"/>
              </w:rPr>
              <w:t>19,2</w:t>
            </w:r>
          </w:p>
        </w:tc>
        <w:tc>
          <w:tcPr>
            <w:tcW w:w="969" w:type="dxa"/>
          </w:tcPr>
          <w:p>
            <w:pPr>
              <w:pStyle w:val="TableParagraph"/>
              <w:spacing w:line="188" w:lineRule="exact"/>
              <w:ind w:right="62"/>
              <w:jc w:val="right"/>
              <w:rPr>
                <w:sz w:val="18"/>
              </w:rPr>
            </w:pPr>
            <w:r>
              <w:rPr>
                <w:sz w:val="18"/>
              </w:rPr>
              <w:t>44,1</w:t>
            </w:r>
          </w:p>
        </w:tc>
      </w:tr>
      <w:tr>
        <w:trPr>
          <w:trHeight w:val="207" w:hRule="atLeast"/>
        </w:trPr>
        <w:tc>
          <w:tcPr>
            <w:tcW w:w="818" w:type="dxa"/>
          </w:tcPr>
          <w:p>
            <w:pPr>
              <w:pStyle w:val="TableParagraph"/>
              <w:spacing w:line="188" w:lineRule="exact"/>
              <w:ind w:left="69"/>
              <w:rPr>
                <w:sz w:val="18"/>
              </w:rPr>
            </w:pPr>
            <w:r>
              <w:rPr>
                <w:sz w:val="18"/>
              </w:rPr>
              <w:t>3</w:t>
            </w:r>
          </w:p>
        </w:tc>
        <w:tc>
          <w:tcPr>
            <w:tcW w:w="1598" w:type="dxa"/>
          </w:tcPr>
          <w:p>
            <w:pPr>
              <w:pStyle w:val="TableParagraph"/>
              <w:spacing w:line="188" w:lineRule="exact"/>
              <w:ind w:left="833"/>
              <w:rPr>
                <w:sz w:val="18"/>
              </w:rPr>
            </w:pPr>
            <w:r>
              <w:rPr>
                <w:sz w:val="18"/>
              </w:rPr>
              <w:t>0,659</w:t>
            </w:r>
          </w:p>
        </w:tc>
        <w:tc>
          <w:tcPr>
            <w:tcW w:w="838" w:type="dxa"/>
          </w:tcPr>
          <w:p>
            <w:pPr>
              <w:pStyle w:val="TableParagraph"/>
              <w:spacing w:line="188" w:lineRule="exact"/>
              <w:ind w:left="361"/>
              <w:rPr>
                <w:sz w:val="18"/>
              </w:rPr>
            </w:pPr>
            <w:r>
              <w:rPr>
                <w:sz w:val="18"/>
              </w:rPr>
              <w:t>17,2</w:t>
            </w:r>
          </w:p>
        </w:tc>
        <w:tc>
          <w:tcPr>
            <w:tcW w:w="969" w:type="dxa"/>
          </w:tcPr>
          <w:p>
            <w:pPr>
              <w:pStyle w:val="TableParagraph"/>
              <w:spacing w:line="188" w:lineRule="exact"/>
              <w:ind w:right="62"/>
              <w:jc w:val="right"/>
              <w:rPr>
                <w:sz w:val="18"/>
              </w:rPr>
            </w:pPr>
            <w:r>
              <w:rPr>
                <w:sz w:val="18"/>
              </w:rPr>
              <w:t>61,3</w:t>
            </w:r>
          </w:p>
        </w:tc>
      </w:tr>
      <w:tr>
        <w:trPr>
          <w:trHeight w:val="206" w:hRule="atLeast"/>
        </w:trPr>
        <w:tc>
          <w:tcPr>
            <w:tcW w:w="818" w:type="dxa"/>
          </w:tcPr>
          <w:p>
            <w:pPr>
              <w:pStyle w:val="TableParagraph"/>
              <w:spacing w:line="186" w:lineRule="exact"/>
              <w:ind w:left="69"/>
              <w:rPr>
                <w:sz w:val="18"/>
              </w:rPr>
            </w:pPr>
            <w:r>
              <w:rPr>
                <w:sz w:val="18"/>
              </w:rPr>
              <w:t>4</w:t>
            </w:r>
          </w:p>
        </w:tc>
        <w:tc>
          <w:tcPr>
            <w:tcW w:w="1598" w:type="dxa"/>
          </w:tcPr>
          <w:p>
            <w:pPr>
              <w:pStyle w:val="TableParagraph"/>
              <w:spacing w:line="186" w:lineRule="exact"/>
              <w:ind w:left="833"/>
              <w:rPr>
                <w:sz w:val="18"/>
              </w:rPr>
            </w:pPr>
            <w:r>
              <w:rPr>
                <w:sz w:val="18"/>
              </w:rPr>
              <w:t>0,548</w:t>
            </w:r>
          </w:p>
        </w:tc>
        <w:tc>
          <w:tcPr>
            <w:tcW w:w="838" w:type="dxa"/>
          </w:tcPr>
          <w:p>
            <w:pPr>
              <w:pStyle w:val="TableParagraph"/>
              <w:spacing w:line="186" w:lineRule="exact"/>
              <w:ind w:left="361"/>
              <w:rPr>
                <w:sz w:val="18"/>
              </w:rPr>
            </w:pPr>
            <w:r>
              <w:rPr>
                <w:sz w:val="18"/>
              </w:rPr>
              <w:t>14,3</w:t>
            </w:r>
          </w:p>
        </w:tc>
        <w:tc>
          <w:tcPr>
            <w:tcW w:w="969" w:type="dxa"/>
          </w:tcPr>
          <w:p>
            <w:pPr>
              <w:pStyle w:val="TableParagraph"/>
              <w:spacing w:line="186" w:lineRule="exact"/>
              <w:ind w:right="62"/>
              <w:jc w:val="right"/>
              <w:rPr>
                <w:sz w:val="18"/>
              </w:rPr>
            </w:pPr>
            <w:r>
              <w:rPr>
                <w:sz w:val="18"/>
              </w:rPr>
              <w:t>75,5</w:t>
            </w:r>
          </w:p>
        </w:tc>
      </w:tr>
      <w:tr>
        <w:trPr>
          <w:trHeight w:val="206" w:hRule="atLeast"/>
        </w:trPr>
        <w:tc>
          <w:tcPr>
            <w:tcW w:w="818" w:type="dxa"/>
          </w:tcPr>
          <w:p>
            <w:pPr>
              <w:pStyle w:val="TableParagraph"/>
              <w:spacing w:line="186" w:lineRule="exact"/>
              <w:ind w:left="69"/>
              <w:rPr>
                <w:sz w:val="18"/>
              </w:rPr>
            </w:pPr>
            <w:r>
              <w:rPr>
                <w:sz w:val="18"/>
              </w:rPr>
              <w:t>5</w:t>
            </w:r>
          </w:p>
        </w:tc>
        <w:tc>
          <w:tcPr>
            <w:tcW w:w="1598" w:type="dxa"/>
          </w:tcPr>
          <w:p>
            <w:pPr>
              <w:pStyle w:val="TableParagraph"/>
              <w:spacing w:line="186" w:lineRule="exact"/>
              <w:ind w:left="833"/>
              <w:rPr>
                <w:sz w:val="18"/>
              </w:rPr>
            </w:pPr>
            <w:r>
              <w:rPr>
                <w:sz w:val="18"/>
              </w:rPr>
              <w:t>0,504</w:t>
            </w:r>
          </w:p>
        </w:tc>
        <w:tc>
          <w:tcPr>
            <w:tcW w:w="838" w:type="dxa"/>
          </w:tcPr>
          <w:p>
            <w:pPr>
              <w:pStyle w:val="TableParagraph"/>
              <w:spacing w:line="186" w:lineRule="exact"/>
              <w:ind w:left="361"/>
              <w:rPr>
                <w:sz w:val="18"/>
              </w:rPr>
            </w:pPr>
            <w:r>
              <w:rPr>
                <w:sz w:val="18"/>
              </w:rPr>
              <w:t>13,1</w:t>
            </w:r>
          </w:p>
        </w:tc>
        <w:tc>
          <w:tcPr>
            <w:tcW w:w="969" w:type="dxa"/>
          </w:tcPr>
          <w:p>
            <w:pPr>
              <w:pStyle w:val="TableParagraph"/>
              <w:spacing w:line="186" w:lineRule="exact"/>
              <w:ind w:right="62"/>
              <w:jc w:val="right"/>
              <w:rPr>
                <w:sz w:val="18"/>
              </w:rPr>
            </w:pPr>
            <w:r>
              <w:rPr>
                <w:sz w:val="18"/>
              </w:rPr>
              <w:t>88,6</w:t>
            </w:r>
          </w:p>
        </w:tc>
      </w:tr>
      <w:tr>
        <w:trPr>
          <w:trHeight w:val="202" w:hRule="atLeast"/>
        </w:trPr>
        <w:tc>
          <w:tcPr>
            <w:tcW w:w="818" w:type="dxa"/>
          </w:tcPr>
          <w:p>
            <w:pPr>
              <w:pStyle w:val="TableParagraph"/>
              <w:tabs>
                <w:tab w:pos="1651" w:val="left" w:leader="none"/>
              </w:tabs>
              <w:spacing w:line="183" w:lineRule="exact"/>
              <w:ind w:left="-15" w:right="-836"/>
              <w:rPr>
                <w:sz w:val="18"/>
              </w:rPr>
            </w:pPr>
            <w:r>
              <w:rPr>
                <w:sz w:val="18"/>
                <w:u w:val="single"/>
              </w:rPr>
              <w:t> </w:t>
            </w:r>
            <w:r>
              <w:rPr>
                <w:spacing w:val="-6"/>
                <w:sz w:val="18"/>
                <w:u w:val="single"/>
              </w:rPr>
              <w:t> </w:t>
            </w:r>
            <w:r>
              <w:rPr>
                <w:sz w:val="18"/>
                <w:u w:val="single"/>
              </w:rPr>
              <w:t>6</w:t>
              <w:tab/>
            </w:r>
          </w:p>
        </w:tc>
        <w:tc>
          <w:tcPr>
            <w:tcW w:w="1598" w:type="dxa"/>
          </w:tcPr>
          <w:p>
            <w:pPr>
              <w:pStyle w:val="TableParagraph"/>
              <w:tabs>
                <w:tab w:pos="1959" w:val="left" w:leader="none"/>
              </w:tabs>
              <w:spacing w:line="183" w:lineRule="exact"/>
              <w:ind w:left="833" w:right="-375"/>
              <w:rPr>
                <w:sz w:val="18"/>
              </w:rPr>
            </w:pPr>
            <w:r>
              <w:rPr>
                <w:sz w:val="18"/>
                <w:u w:val="single"/>
              </w:rPr>
              <w:t>0,436</w:t>
              <w:tab/>
            </w:r>
          </w:p>
        </w:tc>
        <w:tc>
          <w:tcPr>
            <w:tcW w:w="838" w:type="dxa"/>
          </w:tcPr>
          <w:p>
            <w:pPr>
              <w:pStyle w:val="TableParagraph"/>
              <w:tabs>
                <w:tab w:pos="1335" w:val="left" w:leader="none"/>
              </w:tabs>
              <w:spacing w:line="183" w:lineRule="exact"/>
              <w:ind w:left="361" w:right="-504"/>
              <w:rPr>
                <w:sz w:val="18"/>
              </w:rPr>
            </w:pPr>
            <w:r>
              <w:rPr>
                <w:sz w:val="18"/>
                <w:u w:val="single"/>
              </w:rPr>
              <w:t>11,4</w:t>
              <w:tab/>
            </w:r>
          </w:p>
        </w:tc>
        <w:tc>
          <w:tcPr>
            <w:tcW w:w="969" w:type="dxa"/>
          </w:tcPr>
          <w:p>
            <w:pPr>
              <w:pStyle w:val="TableParagraph"/>
              <w:spacing w:line="183" w:lineRule="exact"/>
              <w:ind w:right="-15"/>
              <w:jc w:val="right"/>
              <w:rPr>
                <w:sz w:val="18"/>
              </w:rPr>
            </w:pPr>
            <w:r>
              <w:rPr>
                <w:sz w:val="18"/>
                <w:u w:val="single"/>
              </w:rPr>
              <w:t>100,0 </w:t>
            </w:r>
          </w:p>
        </w:tc>
      </w:tr>
    </w:tbl>
    <w:p>
      <w:pPr>
        <w:pStyle w:val="BodyText"/>
        <w:spacing w:before="8"/>
        <w:rPr>
          <w:i/>
          <w:sz w:val="21"/>
        </w:rPr>
      </w:pPr>
    </w:p>
    <w:p>
      <w:pPr>
        <w:pStyle w:val="BodyText"/>
        <w:ind w:left="588" w:right="585" w:firstLine="283"/>
        <w:jc w:val="both"/>
      </w:pPr>
      <w:r>
        <w:rPr/>
        <w:t>In figure 3, we can appreciate the emotional map of the migration emerging from the French tweets. It shows how the clusters are placed in the factorial space produced by the first three components, explaining about 60% of the inertia. The first component represents the flow of people that arrive and stay; the second factor reproduces the double-aspect of policy, abstract and concrete distinguishing the political rhetoric and the social reality; the third component represents the empowerment of the citizen and the effectiveness of the action, which can be effective or ineffective. The fourth component is death, the tragic aspect of the mobility; the fifth factor is the medialization of the migration phenomenon, the</w:t>
      </w:r>
    </w:p>
    <w:p>
      <w:pPr>
        <w:spacing w:after="0"/>
        <w:jc w:val="both"/>
        <w:sectPr>
          <w:pgSz w:w="11910" w:h="16840"/>
          <w:pgMar w:header="2838" w:footer="0" w:top="3040" w:bottom="280" w:left="1680" w:right="1680"/>
        </w:sectPr>
      </w:pPr>
    </w:p>
    <w:p>
      <w:pPr>
        <w:pStyle w:val="BodyText"/>
        <w:rPr>
          <w:sz w:val="13"/>
        </w:rPr>
      </w:pPr>
    </w:p>
    <w:p>
      <w:pPr>
        <w:pStyle w:val="BodyText"/>
        <w:spacing w:before="91"/>
        <w:ind w:left="588" w:right="210"/>
      </w:pPr>
      <w:r>
        <w:rPr/>
        <w:t>spectacle, distinguishing between serious (politics) and recreational (sport); and the sixth component is people’s reaction, that moves from rejection to the hospitality.</w:t>
      </w:r>
    </w:p>
    <w:p>
      <w:pPr>
        <w:spacing w:before="122"/>
        <w:ind w:left="588" w:right="0" w:firstLine="0"/>
        <w:jc w:val="left"/>
        <w:rPr>
          <w:i/>
          <w:sz w:val="20"/>
        </w:rPr>
      </w:pPr>
      <w:r>
        <w:rPr/>
        <w:drawing>
          <wp:anchor distT="0" distB="0" distL="0" distR="0" allowOverlap="1" layoutInCell="1" locked="0" behindDoc="0" simplePos="0" relativeHeight="1096">
            <wp:simplePos x="0" y="0"/>
            <wp:positionH relativeFrom="page">
              <wp:posOffset>1440180</wp:posOffset>
            </wp:positionH>
            <wp:positionV relativeFrom="paragraph">
              <wp:posOffset>311577</wp:posOffset>
            </wp:positionV>
            <wp:extent cx="4682019" cy="3608832"/>
            <wp:effectExtent l="0" t="0" r="0" b="0"/>
            <wp:wrapTopAndBottom/>
            <wp:docPr id="5" name="image3.jpeg" descr=""/>
            <wp:cNvGraphicFramePr>
              <a:graphicFrameLocks noChangeAspect="1"/>
            </wp:cNvGraphicFramePr>
            <a:graphic>
              <a:graphicData uri="http://schemas.openxmlformats.org/drawingml/2006/picture">
                <pic:pic>
                  <pic:nvPicPr>
                    <pic:cNvPr id="6" name="image3.jpeg"/>
                    <pic:cNvPicPr/>
                  </pic:nvPicPr>
                  <pic:blipFill>
                    <a:blip r:embed="rId9" cstate="print"/>
                    <a:stretch>
                      <a:fillRect/>
                    </a:stretch>
                  </pic:blipFill>
                  <pic:spPr>
                    <a:xfrm>
                      <a:off x="0" y="0"/>
                      <a:ext cx="4682019" cy="3608832"/>
                    </a:xfrm>
                    <a:prstGeom prst="rect">
                      <a:avLst/>
                    </a:prstGeom>
                  </pic:spPr>
                </pic:pic>
              </a:graphicData>
            </a:graphic>
          </wp:anchor>
        </w:drawing>
      </w:r>
      <w:r>
        <w:rPr>
          <w:b/>
          <w:sz w:val="20"/>
        </w:rPr>
        <w:t>Figure 3 </w:t>
      </w:r>
      <w:r>
        <w:rPr>
          <w:rFonts w:ascii="Symbol" w:hAnsi="Symbol"/>
          <w:b/>
          <w:sz w:val="20"/>
        </w:rPr>
        <w:t></w:t>
      </w:r>
      <w:r>
        <w:rPr>
          <w:b/>
          <w:sz w:val="20"/>
        </w:rPr>
        <w:t> </w:t>
      </w:r>
      <w:r>
        <w:rPr>
          <w:i/>
          <w:sz w:val="20"/>
        </w:rPr>
        <w:t>Factorial space set by the first three components</w:t>
      </w:r>
    </w:p>
    <w:p>
      <w:pPr>
        <w:pStyle w:val="BodyText"/>
        <w:spacing w:before="4"/>
        <w:rPr>
          <w:i/>
          <w:sz w:val="19"/>
        </w:rPr>
      </w:pPr>
    </w:p>
    <w:p>
      <w:pPr>
        <w:pStyle w:val="BodyText"/>
        <w:ind w:left="588" w:right="589" w:firstLine="283"/>
        <w:jc w:val="both"/>
      </w:pPr>
      <w:r>
        <w:rPr/>
        <w:t>These six components set the symbolic space in which clusters are located, facilitating their interpretation. For example, both cluster 1 and cluster 3 are isolated from the rest of the clusters in the factorial space set by the first and the second component. These clusters are probably connected to spot events largely covered by the media that made a buzz: cluster 1, as it refers to Mélenchon interview, where he suggests the hosting solution for refugees; and cluster 3 is probably connected to the spread of information about human trafficking report promoted by the OSCE (Organization for Security and Co-operation in</w:t>
      </w:r>
      <w:r>
        <w:rPr>
          <w:spacing w:val="-17"/>
        </w:rPr>
        <w:t> </w:t>
      </w:r>
      <w:r>
        <w:rPr/>
        <w:t>Europe).</w:t>
      </w:r>
    </w:p>
    <w:p>
      <w:pPr>
        <w:pStyle w:val="BodyText"/>
        <w:ind w:left="588" w:right="585" w:firstLine="283"/>
        <w:jc w:val="both"/>
      </w:pPr>
      <w:r>
        <w:rPr/>
        <w:t>The seven clusters are of different sizes (figure 4) and reflect different representations of migration that correspond to three different sentiments: positive, negative for the community, and negative for migrants (table 2). The first cluster reflects the reaction of public opinion on the proposal to host migrants in historical</w:t>
      </w:r>
    </w:p>
    <w:p>
      <w:pPr>
        <w:spacing w:after="0"/>
        <w:jc w:val="both"/>
        <w:sectPr>
          <w:pgSz w:w="11910" w:h="16840"/>
          <w:pgMar w:header="2838" w:footer="0" w:top="3040" w:bottom="280" w:left="1680" w:right="1680"/>
        </w:sectPr>
      </w:pPr>
    </w:p>
    <w:p>
      <w:pPr>
        <w:pStyle w:val="BodyText"/>
        <w:rPr>
          <w:sz w:val="13"/>
        </w:rPr>
      </w:pPr>
    </w:p>
    <w:p>
      <w:pPr>
        <w:pStyle w:val="BodyText"/>
        <w:spacing w:before="91"/>
        <w:ind w:left="588"/>
      </w:pPr>
      <w:r>
        <w:rPr/>
        <w:t>buildings, suggested by Mélenchon. Migrants seem to be perceived as</w:t>
      </w:r>
    </w:p>
    <w:p>
      <w:pPr>
        <w:pStyle w:val="BodyText"/>
        <w:spacing w:before="2"/>
      </w:pPr>
    </w:p>
    <w:p>
      <w:pPr>
        <w:spacing w:before="0"/>
        <w:ind w:left="588" w:right="0" w:firstLine="0"/>
        <w:jc w:val="left"/>
        <w:rPr>
          <w:i/>
          <w:sz w:val="20"/>
        </w:rPr>
      </w:pPr>
      <w:r>
        <w:rPr>
          <w:b/>
          <w:sz w:val="20"/>
        </w:rPr>
        <w:t>Table 2 </w:t>
      </w:r>
      <w:r>
        <w:rPr>
          <w:rFonts w:ascii="Symbol" w:hAnsi="Symbol"/>
          <w:sz w:val="20"/>
        </w:rPr>
        <w:t></w:t>
      </w:r>
      <w:r>
        <w:rPr>
          <w:sz w:val="20"/>
        </w:rPr>
        <w:t> </w:t>
      </w:r>
      <w:r>
        <w:rPr>
          <w:i/>
          <w:sz w:val="20"/>
        </w:rPr>
        <w:t>Migration representations and sentiments.</w:t>
      </w:r>
    </w:p>
    <w:p>
      <w:pPr>
        <w:pStyle w:val="BodyText"/>
        <w:spacing w:before="9" w:after="1"/>
        <w:rPr>
          <w:i/>
          <w:sz w:val="10"/>
        </w:rPr>
      </w:pPr>
    </w:p>
    <w:tbl>
      <w:tblPr>
        <w:tblW w:w="0" w:type="auto"/>
        <w:jc w:val="left"/>
        <w:tblInd w:w="5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11"/>
        <w:gridCol w:w="1536"/>
        <w:gridCol w:w="622"/>
        <w:gridCol w:w="1249"/>
        <w:gridCol w:w="1265"/>
        <w:gridCol w:w="736"/>
        <w:gridCol w:w="1396"/>
      </w:tblGrid>
      <w:tr>
        <w:trPr>
          <w:trHeight w:val="282" w:hRule="atLeast"/>
        </w:trPr>
        <w:tc>
          <w:tcPr>
            <w:tcW w:w="711" w:type="dxa"/>
            <w:tcBorders>
              <w:top w:val="single" w:sz="4" w:space="0" w:color="000000"/>
              <w:bottom w:val="single" w:sz="4" w:space="0" w:color="000000"/>
            </w:tcBorders>
          </w:tcPr>
          <w:p>
            <w:pPr>
              <w:pStyle w:val="TableParagraph"/>
              <w:spacing w:line="202" w:lineRule="exact"/>
              <w:ind w:left="92"/>
              <w:rPr>
                <w:sz w:val="18"/>
              </w:rPr>
            </w:pPr>
            <w:r>
              <w:rPr>
                <w:sz w:val="18"/>
              </w:rPr>
              <w:t>Cluster</w:t>
            </w:r>
          </w:p>
        </w:tc>
        <w:tc>
          <w:tcPr>
            <w:tcW w:w="1536" w:type="dxa"/>
            <w:tcBorders>
              <w:top w:val="single" w:sz="4" w:space="0" w:color="000000"/>
              <w:bottom w:val="single" w:sz="4" w:space="0" w:color="000000"/>
            </w:tcBorders>
          </w:tcPr>
          <w:p>
            <w:pPr>
              <w:pStyle w:val="TableParagraph"/>
              <w:spacing w:line="202" w:lineRule="exact"/>
              <w:ind w:right="77"/>
              <w:jc w:val="right"/>
              <w:rPr>
                <w:sz w:val="18"/>
              </w:rPr>
            </w:pPr>
            <w:r>
              <w:rPr>
                <w:sz w:val="18"/>
              </w:rPr>
              <w:t>N tweets classified</w:t>
            </w:r>
          </w:p>
        </w:tc>
        <w:tc>
          <w:tcPr>
            <w:tcW w:w="622" w:type="dxa"/>
            <w:tcBorders>
              <w:top w:val="single" w:sz="4" w:space="0" w:color="000000"/>
              <w:bottom w:val="single" w:sz="4" w:space="0" w:color="000000"/>
            </w:tcBorders>
          </w:tcPr>
          <w:p>
            <w:pPr>
              <w:pStyle w:val="TableParagraph"/>
              <w:spacing w:line="202" w:lineRule="exact"/>
              <w:ind w:right="77"/>
              <w:jc w:val="right"/>
              <w:rPr>
                <w:sz w:val="18"/>
              </w:rPr>
            </w:pPr>
            <w:r>
              <w:rPr>
                <w:w w:val="95"/>
                <w:sz w:val="18"/>
              </w:rPr>
              <w:t>Size</w:t>
            </w:r>
          </w:p>
        </w:tc>
        <w:tc>
          <w:tcPr>
            <w:tcW w:w="1249" w:type="dxa"/>
            <w:tcBorders>
              <w:top w:val="single" w:sz="4" w:space="0" w:color="000000"/>
              <w:bottom w:val="single" w:sz="4" w:space="0" w:color="000000"/>
            </w:tcBorders>
          </w:tcPr>
          <w:p>
            <w:pPr>
              <w:pStyle w:val="TableParagraph"/>
              <w:spacing w:line="202" w:lineRule="exact"/>
              <w:ind w:right="171"/>
              <w:jc w:val="right"/>
              <w:rPr>
                <w:sz w:val="18"/>
              </w:rPr>
            </w:pPr>
            <w:r>
              <w:rPr>
                <w:sz w:val="18"/>
              </w:rPr>
              <w:t>label</w:t>
            </w:r>
          </w:p>
        </w:tc>
        <w:tc>
          <w:tcPr>
            <w:tcW w:w="1265" w:type="dxa"/>
            <w:tcBorders>
              <w:top w:val="single" w:sz="4" w:space="0" w:color="000000"/>
              <w:bottom w:val="single" w:sz="4" w:space="0" w:color="000000"/>
            </w:tcBorders>
          </w:tcPr>
          <w:p>
            <w:pPr>
              <w:pStyle w:val="TableParagraph"/>
              <w:spacing w:line="202" w:lineRule="exact"/>
              <w:ind w:right="126"/>
              <w:jc w:val="right"/>
              <w:rPr>
                <w:sz w:val="18"/>
              </w:rPr>
            </w:pPr>
            <w:r>
              <w:rPr>
                <w:sz w:val="18"/>
              </w:rPr>
              <w:t>keyword</w:t>
            </w:r>
          </w:p>
        </w:tc>
        <w:tc>
          <w:tcPr>
            <w:tcW w:w="736" w:type="dxa"/>
            <w:tcBorders>
              <w:top w:val="single" w:sz="4" w:space="0" w:color="000000"/>
              <w:bottom w:val="single" w:sz="4" w:space="0" w:color="000000"/>
            </w:tcBorders>
          </w:tcPr>
          <w:p>
            <w:pPr>
              <w:pStyle w:val="TableParagraph"/>
              <w:spacing w:line="202" w:lineRule="exact"/>
              <w:ind w:right="148"/>
              <w:jc w:val="right"/>
              <w:rPr>
                <w:sz w:val="18"/>
              </w:rPr>
            </w:pPr>
            <w:r>
              <w:rPr>
                <w:w w:val="95"/>
                <w:sz w:val="18"/>
              </w:rPr>
              <w:t>CU</w:t>
            </w:r>
          </w:p>
        </w:tc>
        <w:tc>
          <w:tcPr>
            <w:tcW w:w="1396" w:type="dxa"/>
            <w:tcBorders>
              <w:top w:val="single" w:sz="4" w:space="0" w:color="000000"/>
              <w:bottom w:val="single" w:sz="4" w:space="0" w:color="000000"/>
            </w:tcBorders>
          </w:tcPr>
          <w:p>
            <w:pPr>
              <w:pStyle w:val="TableParagraph"/>
              <w:spacing w:line="202" w:lineRule="exact"/>
              <w:ind w:right="64"/>
              <w:jc w:val="right"/>
              <w:rPr>
                <w:sz w:val="18"/>
              </w:rPr>
            </w:pPr>
            <w:r>
              <w:rPr>
                <w:sz w:val="18"/>
              </w:rPr>
              <w:t>Sentiment</w:t>
            </w:r>
          </w:p>
        </w:tc>
      </w:tr>
      <w:tr>
        <w:trPr>
          <w:trHeight w:val="205" w:hRule="atLeast"/>
        </w:trPr>
        <w:tc>
          <w:tcPr>
            <w:tcW w:w="711" w:type="dxa"/>
            <w:tcBorders>
              <w:top w:val="single" w:sz="4" w:space="0" w:color="000000"/>
            </w:tcBorders>
          </w:tcPr>
          <w:p>
            <w:pPr>
              <w:pStyle w:val="TableParagraph"/>
              <w:spacing w:line="185" w:lineRule="exact"/>
              <w:ind w:left="92"/>
              <w:rPr>
                <w:sz w:val="18"/>
              </w:rPr>
            </w:pPr>
            <w:r>
              <w:rPr>
                <w:sz w:val="18"/>
              </w:rPr>
              <w:t>1</w:t>
            </w:r>
          </w:p>
        </w:tc>
        <w:tc>
          <w:tcPr>
            <w:tcW w:w="1536" w:type="dxa"/>
            <w:tcBorders>
              <w:top w:val="single" w:sz="4" w:space="0" w:color="000000"/>
            </w:tcBorders>
          </w:tcPr>
          <w:p>
            <w:pPr>
              <w:pStyle w:val="TableParagraph"/>
              <w:spacing w:line="185" w:lineRule="exact"/>
              <w:ind w:right="71"/>
              <w:jc w:val="right"/>
              <w:rPr>
                <w:sz w:val="18"/>
              </w:rPr>
            </w:pPr>
            <w:r>
              <w:rPr>
                <w:sz w:val="18"/>
              </w:rPr>
              <w:t>951</w:t>
            </w:r>
          </w:p>
        </w:tc>
        <w:tc>
          <w:tcPr>
            <w:tcW w:w="622" w:type="dxa"/>
            <w:tcBorders>
              <w:top w:val="single" w:sz="4" w:space="0" w:color="000000"/>
            </w:tcBorders>
          </w:tcPr>
          <w:p>
            <w:pPr>
              <w:pStyle w:val="TableParagraph"/>
              <w:spacing w:line="185" w:lineRule="exact"/>
              <w:ind w:right="75"/>
              <w:jc w:val="right"/>
              <w:rPr>
                <w:sz w:val="18"/>
              </w:rPr>
            </w:pPr>
            <w:r>
              <w:rPr>
                <w:sz w:val="18"/>
              </w:rPr>
              <w:t>9,9%</w:t>
            </w:r>
          </w:p>
        </w:tc>
        <w:tc>
          <w:tcPr>
            <w:tcW w:w="1249" w:type="dxa"/>
            <w:tcBorders>
              <w:top w:val="single" w:sz="4" w:space="0" w:color="000000"/>
            </w:tcBorders>
          </w:tcPr>
          <w:p>
            <w:pPr>
              <w:pStyle w:val="TableParagraph"/>
              <w:spacing w:line="185" w:lineRule="exact"/>
              <w:ind w:right="168"/>
              <w:jc w:val="right"/>
              <w:rPr>
                <w:sz w:val="18"/>
              </w:rPr>
            </w:pPr>
            <w:r>
              <w:rPr>
                <w:w w:val="95"/>
                <w:sz w:val="18"/>
              </w:rPr>
              <w:t>Squatters</w:t>
            </w:r>
          </w:p>
        </w:tc>
        <w:tc>
          <w:tcPr>
            <w:tcW w:w="1265" w:type="dxa"/>
            <w:tcBorders>
              <w:top w:val="single" w:sz="4" w:space="0" w:color="000000"/>
            </w:tcBorders>
          </w:tcPr>
          <w:p>
            <w:pPr>
              <w:pStyle w:val="TableParagraph"/>
              <w:spacing w:line="185" w:lineRule="exact"/>
              <w:ind w:right="124"/>
              <w:jc w:val="right"/>
              <w:rPr>
                <w:sz w:val="18"/>
              </w:rPr>
            </w:pPr>
            <w:r>
              <w:rPr>
                <w:sz w:val="18"/>
              </w:rPr>
              <w:t>Mélenchon</w:t>
            </w:r>
          </w:p>
        </w:tc>
        <w:tc>
          <w:tcPr>
            <w:tcW w:w="736" w:type="dxa"/>
            <w:tcBorders>
              <w:top w:val="single" w:sz="4" w:space="0" w:color="000000"/>
            </w:tcBorders>
          </w:tcPr>
          <w:p>
            <w:pPr>
              <w:pStyle w:val="TableParagraph"/>
              <w:spacing w:line="185" w:lineRule="exact"/>
              <w:ind w:right="147"/>
              <w:jc w:val="right"/>
              <w:rPr>
                <w:sz w:val="18"/>
              </w:rPr>
            </w:pPr>
            <w:r>
              <w:rPr>
                <w:sz w:val="18"/>
              </w:rPr>
              <w:t>20856</w:t>
            </w:r>
          </w:p>
        </w:tc>
        <w:tc>
          <w:tcPr>
            <w:tcW w:w="1396" w:type="dxa"/>
            <w:tcBorders>
              <w:top w:val="single" w:sz="4" w:space="0" w:color="000000"/>
            </w:tcBorders>
          </w:tcPr>
          <w:p>
            <w:pPr>
              <w:pStyle w:val="TableParagraph"/>
              <w:spacing w:line="185" w:lineRule="exact"/>
              <w:ind w:right="63"/>
              <w:jc w:val="right"/>
              <w:rPr>
                <w:sz w:val="18"/>
              </w:rPr>
            </w:pPr>
            <w:r>
              <w:rPr>
                <w:sz w:val="18"/>
              </w:rPr>
              <w:t>Negative for the</w:t>
            </w: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8" w:lineRule="exact"/>
              <w:ind w:right="125"/>
              <w:jc w:val="right"/>
              <w:rPr>
                <w:sz w:val="18"/>
              </w:rPr>
            </w:pPr>
            <w:r>
              <w:rPr>
                <w:sz w:val="18"/>
              </w:rPr>
              <w:t>installer</w:t>
            </w:r>
          </w:p>
        </w:tc>
        <w:tc>
          <w:tcPr>
            <w:tcW w:w="736" w:type="dxa"/>
          </w:tcPr>
          <w:p>
            <w:pPr>
              <w:pStyle w:val="TableParagraph"/>
              <w:spacing w:line="188" w:lineRule="exact"/>
              <w:ind w:right="147"/>
              <w:jc w:val="right"/>
              <w:rPr>
                <w:sz w:val="18"/>
              </w:rPr>
            </w:pPr>
            <w:r>
              <w:rPr>
                <w:sz w:val="18"/>
              </w:rPr>
              <w:t>20305</w:t>
            </w:r>
          </w:p>
        </w:tc>
        <w:tc>
          <w:tcPr>
            <w:tcW w:w="1396" w:type="dxa"/>
          </w:tcPr>
          <w:p>
            <w:pPr>
              <w:pStyle w:val="TableParagraph"/>
              <w:spacing w:line="188" w:lineRule="exact"/>
              <w:ind w:right="63"/>
              <w:jc w:val="right"/>
              <w:rPr>
                <w:sz w:val="18"/>
              </w:rPr>
            </w:pPr>
            <w:r>
              <w:rPr>
                <w:sz w:val="18"/>
              </w:rPr>
              <w:t>community</w:t>
            </w: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8" w:lineRule="exact"/>
              <w:ind w:right="122"/>
              <w:jc w:val="right"/>
              <w:rPr>
                <w:sz w:val="18"/>
              </w:rPr>
            </w:pPr>
            <w:r>
              <w:rPr>
                <w:sz w:val="18"/>
              </w:rPr>
              <w:t>réponse</w:t>
            </w:r>
          </w:p>
        </w:tc>
        <w:tc>
          <w:tcPr>
            <w:tcW w:w="736" w:type="dxa"/>
          </w:tcPr>
          <w:p>
            <w:pPr>
              <w:pStyle w:val="TableParagraph"/>
              <w:spacing w:line="188" w:lineRule="exact"/>
              <w:ind w:right="147"/>
              <w:jc w:val="right"/>
              <w:rPr>
                <w:sz w:val="18"/>
              </w:rPr>
            </w:pPr>
            <w:r>
              <w:rPr>
                <w:sz w:val="18"/>
              </w:rPr>
              <w:t>20228</w:t>
            </w:r>
          </w:p>
        </w:tc>
        <w:tc>
          <w:tcPr>
            <w:tcW w:w="1396" w:type="dxa"/>
          </w:tcPr>
          <w:p>
            <w:pPr>
              <w:pStyle w:val="TableParagraph"/>
              <w:rPr>
                <w:sz w:val="14"/>
              </w:rPr>
            </w:pP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7" w:lineRule="exact"/>
              <w:ind w:right="127"/>
              <w:jc w:val="right"/>
              <w:rPr>
                <w:sz w:val="18"/>
              </w:rPr>
            </w:pPr>
            <w:r>
              <w:rPr>
                <w:sz w:val="18"/>
              </w:rPr>
              <w:t>énorme</w:t>
            </w:r>
          </w:p>
        </w:tc>
        <w:tc>
          <w:tcPr>
            <w:tcW w:w="736" w:type="dxa"/>
          </w:tcPr>
          <w:p>
            <w:pPr>
              <w:pStyle w:val="TableParagraph"/>
              <w:spacing w:line="187" w:lineRule="exact"/>
              <w:ind w:right="147"/>
              <w:jc w:val="right"/>
              <w:rPr>
                <w:sz w:val="18"/>
              </w:rPr>
            </w:pPr>
            <w:r>
              <w:rPr>
                <w:sz w:val="18"/>
              </w:rPr>
              <w:t>20218</w:t>
            </w:r>
          </w:p>
        </w:tc>
        <w:tc>
          <w:tcPr>
            <w:tcW w:w="1396" w:type="dxa"/>
          </w:tcPr>
          <w:p>
            <w:pPr>
              <w:pStyle w:val="TableParagraph"/>
              <w:rPr>
                <w:sz w:val="14"/>
              </w:rPr>
            </w:pP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7" w:lineRule="exact"/>
              <w:ind w:right="126"/>
              <w:jc w:val="right"/>
              <w:rPr>
                <w:sz w:val="18"/>
              </w:rPr>
            </w:pPr>
            <w:r>
              <w:rPr>
                <w:sz w:val="18"/>
              </w:rPr>
              <w:t>établissement</w:t>
            </w:r>
          </w:p>
        </w:tc>
        <w:tc>
          <w:tcPr>
            <w:tcW w:w="736" w:type="dxa"/>
          </w:tcPr>
          <w:p>
            <w:pPr>
              <w:pStyle w:val="TableParagraph"/>
              <w:spacing w:line="187" w:lineRule="exact"/>
              <w:ind w:right="147"/>
              <w:jc w:val="right"/>
              <w:rPr>
                <w:sz w:val="18"/>
              </w:rPr>
            </w:pPr>
            <w:r>
              <w:rPr>
                <w:sz w:val="18"/>
              </w:rPr>
              <w:t>20165</w:t>
            </w:r>
          </w:p>
        </w:tc>
        <w:tc>
          <w:tcPr>
            <w:tcW w:w="1396" w:type="dxa"/>
          </w:tcPr>
          <w:p>
            <w:pPr>
              <w:pStyle w:val="TableParagraph"/>
              <w:rPr>
                <w:sz w:val="14"/>
              </w:rPr>
            </w:pP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8" w:lineRule="exact"/>
              <w:ind w:right="126"/>
              <w:jc w:val="right"/>
              <w:rPr>
                <w:sz w:val="18"/>
              </w:rPr>
            </w:pPr>
            <w:r>
              <w:rPr>
                <w:sz w:val="18"/>
              </w:rPr>
              <w:t>Iglesias</w:t>
            </w:r>
          </w:p>
        </w:tc>
        <w:tc>
          <w:tcPr>
            <w:tcW w:w="736" w:type="dxa"/>
          </w:tcPr>
          <w:p>
            <w:pPr>
              <w:pStyle w:val="TableParagraph"/>
              <w:spacing w:line="188" w:lineRule="exact"/>
              <w:ind w:right="147"/>
              <w:jc w:val="right"/>
              <w:rPr>
                <w:sz w:val="18"/>
              </w:rPr>
            </w:pPr>
            <w:r>
              <w:rPr>
                <w:sz w:val="18"/>
              </w:rPr>
              <w:t>152</w:t>
            </w:r>
          </w:p>
        </w:tc>
        <w:tc>
          <w:tcPr>
            <w:tcW w:w="1396" w:type="dxa"/>
          </w:tcPr>
          <w:p>
            <w:pPr>
              <w:pStyle w:val="TableParagraph"/>
              <w:rPr>
                <w:sz w:val="14"/>
              </w:rPr>
            </w:pPr>
          </w:p>
        </w:tc>
      </w:tr>
      <w:tr>
        <w:trPr>
          <w:trHeight w:val="207" w:hRule="atLeast"/>
        </w:trPr>
        <w:tc>
          <w:tcPr>
            <w:tcW w:w="711" w:type="dxa"/>
          </w:tcPr>
          <w:p>
            <w:pPr>
              <w:pStyle w:val="TableParagraph"/>
              <w:spacing w:line="188" w:lineRule="exact"/>
              <w:ind w:left="92"/>
              <w:rPr>
                <w:sz w:val="18"/>
              </w:rPr>
            </w:pPr>
            <w:r>
              <w:rPr>
                <w:sz w:val="18"/>
              </w:rPr>
              <w:t>2</w:t>
            </w:r>
          </w:p>
        </w:tc>
        <w:tc>
          <w:tcPr>
            <w:tcW w:w="1536" w:type="dxa"/>
          </w:tcPr>
          <w:p>
            <w:pPr>
              <w:pStyle w:val="TableParagraph"/>
              <w:spacing w:line="188" w:lineRule="exact"/>
              <w:ind w:right="72"/>
              <w:jc w:val="right"/>
              <w:rPr>
                <w:sz w:val="18"/>
              </w:rPr>
            </w:pPr>
            <w:r>
              <w:rPr>
                <w:sz w:val="18"/>
              </w:rPr>
              <w:t>17770</w:t>
            </w:r>
          </w:p>
        </w:tc>
        <w:tc>
          <w:tcPr>
            <w:tcW w:w="622" w:type="dxa"/>
          </w:tcPr>
          <w:p>
            <w:pPr>
              <w:pStyle w:val="TableParagraph"/>
              <w:spacing w:line="188" w:lineRule="exact"/>
              <w:ind w:right="78"/>
              <w:jc w:val="right"/>
              <w:rPr>
                <w:sz w:val="18"/>
              </w:rPr>
            </w:pPr>
            <w:r>
              <w:rPr>
                <w:sz w:val="18"/>
              </w:rPr>
              <w:t>17,7%</w:t>
            </w:r>
          </w:p>
        </w:tc>
        <w:tc>
          <w:tcPr>
            <w:tcW w:w="1249" w:type="dxa"/>
          </w:tcPr>
          <w:p>
            <w:pPr>
              <w:pStyle w:val="TableParagraph"/>
              <w:spacing w:line="188" w:lineRule="exact"/>
              <w:ind w:right="173"/>
              <w:jc w:val="right"/>
              <w:rPr>
                <w:sz w:val="18"/>
              </w:rPr>
            </w:pPr>
            <w:r>
              <w:rPr>
                <w:sz w:val="18"/>
              </w:rPr>
              <w:t>Terrorists</w:t>
            </w:r>
          </w:p>
        </w:tc>
        <w:tc>
          <w:tcPr>
            <w:tcW w:w="1265" w:type="dxa"/>
          </w:tcPr>
          <w:p>
            <w:pPr>
              <w:pStyle w:val="TableParagraph"/>
              <w:spacing w:line="188" w:lineRule="exact"/>
              <w:ind w:right="125"/>
              <w:jc w:val="right"/>
              <w:rPr>
                <w:sz w:val="18"/>
              </w:rPr>
            </w:pPr>
            <w:r>
              <w:rPr>
                <w:sz w:val="18"/>
              </w:rPr>
              <w:t>terroriste</w:t>
            </w:r>
          </w:p>
        </w:tc>
        <w:tc>
          <w:tcPr>
            <w:tcW w:w="736" w:type="dxa"/>
          </w:tcPr>
          <w:p>
            <w:pPr>
              <w:pStyle w:val="TableParagraph"/>
              <w:spacing w:line="188" w:lineRule="exact"/>
              <w:ind w:right="147"/>
              <w:jc w:val="right"/>
              <w:rPr>
                <w:sz w:val="18"/>
              </w:rPr>
            </w:pPr>
            <w:r>
              <w:rPr>
                <w:sz w:val="18"/>
              </w:rPr>
              <w:t>1664</w:t>
            </w:r>
          </w:p>
        </w:tc>
        <w:tc>
          <w:tcPr>
            <w:tcW w:w="1396" w:type="dxa"/>
          </w:tcPr>
          <w:p>
            <w:pPr>
              <w:pStyle w:val="TableParagraph"/>
              <w:spacing w:line="188" w:lineRule="exact"/>
              <w:ind w:right="63"/>
              <w:jc w:val="right"/>
              <w:rPr>
                <w:sz w:val="18"/>
              </w:rPr>
            </w:pPr>
            <w:r>
              <w:rPr>
                <w:sz w:val="18"/>
              </w:rPr>
              <w:t>Negative for the</w:t>
            </w: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6" w:lineRule="exact"/>
              <w:ind w:right="125"/>
              <w:jc w:val="right"/>
              <w:rPr>
                <w:sz w:val="18"/>
              </w:rPr>
            </w:pPr>
            <w:r>
              <w:rPr>
                <w:sz w:val="18"/>
              </w:rPr>
              <w:t>enfant</w:t>
            </w:r>
          </w:p>
        </w:tc>
        <w:tc>
          <w:tcPr>
            <w:tcW w:w="736" w:type="dxa"/>
          </w:tcPr>
          <w:p>
            <w:pPr>
              <w:pStyle w:val="TableParagraph"/>
              <w:spacing w:line="186" w:lineRule="exact"/>
              <w:ind w:right="147"/>
              <w:jc w:val="right"/>
              <w:rPr>
                <w:sz w:val="18"/>
              </w:rPr>
            </w:pPr>
            <w:r>
              <w:rPr>
                <w:sz w:val="18"/>
              </w:rPr>
              <w:t>1562</w:t>
            </w:r>
          </w:p>
        </w:tc>
        <w:tc>
          <w:tcPr>
            <w:tcW w:w="1396" w:type="dxa"/>
          </w:tcPr>
          <w:p>
            <w:pPr>
              <w:pStyle w:val="TableParagraph"/>
              <w:spacing w:line="186" w:lineRule="exact"/>
              <w:ind w:right="63"/>
              <w:jc w:val="right"/>
              <w:rPr>
                <w:sz w:val="18"/>
              </w:rPr>
            </w:pPr>
            <w:r>
              <w:rPr>
                <w:sz w:val="18"/>
              </w:rPr>
              <w:t>community</w:t>
            </w: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6" w:lineRule="exact"/>
              <w:ind w:right="126"/>
              <w:jc w:val="right"/>
              <w:rPr>
                <w:sz w:val="18"/>
              </w:rPr>
            </w:pPr>
            <w:r>
              <w:rPr>
                <w:sz w:val="18"/>
              </w:rPr>
              <w:t>Bataclan</w:t>
            </w:r>
          </w:p>
        </w:tc>
        <w:tc>
          <w:tcPr>
            <w:tcW w:w="736" w:type="dxa"/>
          </w:tcPr>
          <w:p>
            <w:pPr>
              <w:pStyle w:val="TableParagraph"/>
              <w:spacing w:line="186" w:lineRule="exact"/>
              <w:ind w:right="147"/>
              <w:jc w:val="right"/>
              <w:rPr>
                <w:sz w:val="18"/>
              </w:rPr>
            </w:pPr>
            <w:r>
              <w:rPr>
                <w:sz w:val="18"/>
              </w:rPr>
              <w:t>1178</w:t>
            </w:r>
          </w:p>
        </w:tc>
        <w:tc>
          <w:tcPr>
            <w:tcW w:w="1396" w:type="dxa"/>
          </w:tcPr>
          <w:p>
            <w:pPr>
              <w:pStyle w:val="TableParagraph"/>
              <w:rPr>
                <w:sz w:val="14"/>
              </w:rPr>
            </w:pP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6" w:lineRule="exact"/>
              <w:ind w:right="123"/>
              <w:jc w:val="right"/>
              <w:rPr>
                <w:sz w:val="18"/>
              </w:rPr>
            </w:pPr>
            <w:r>
              <w:rPr>
                <w:sz w:val="18"/>
              </w:rPr>
              <w:t>juif</w:t>
            </w:r>
          </w:p>
        </w:tc>
        <w:tc>
          <w:tcPr>
            <w:tcW w:w="736" w:type="dxa"/>
          </w:tcPr>
          <w:p>
            <w:pPr>
              <w:pStyle w:val="TableParagraph"/>
              <w:spacing w:line="186" w:lineRule="exact"/>
              <w:ind w:right="147"/>
              <w:jc w:val="right"/>
              <w:rPr>
                <w:sz w:val="18"/>
              </w:rPr>
            </w:pPr>
            <w:r>
              <w:rPr>
                <w:sz w:val="18"/>
              </w:rPr>
              <w:t>1168</w:t>
            </w:r>
          </w:p>
        </w:tc>
        <w:tc>
          <w:tcPr>
            <w:tcW w:w="1396" w:type="dxa"/>
          </w:tcPr>
          <w:p>
            <w:pPr>
              <w:pStyle w:val="TableParagraph"/>
              <w:rPr>
                <w:sz w:val="14"/>
              </w:rPr>
            </w:pP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8" w:lineRule="exact"/>
              <w:ind w:right="128"/>
              <w:jc w:val="right"/>
              <w:rPr>
                <w:sz w:val="18"/>
              </w:rPr>
            </w:pPr>
            <w:r>
              <w:rPr>
                <w:sz w:val="18"/>
              </w:rPr>
              <w:t>moi</w:t>
            </w:r>
          </w:p>
        </w:tc>
        <w:tc>
          <w:tcPr>
            <w:tcW w:w="736" w:type="dxa"/>
          </w:tcPr>
          <w:p>
            <w:pPr>
              <w:pStyle w:val="TableParagraph"/>
              <w:spacing w:line="188" w:lineRule="exact"/>
              <w:ind w:right="147"/>
              <w:jc w:val="right"/>
              <w:rPr>
                <w:sz w:val="18"/>
              </w:rPr>
            </w:pPr>
            <w:r>
              <w:rPr>
                <w:sz w:val="18"/>
              </w:rPr>
              <w:t>1201</w:t>
            </w:r>
          </w:p>
        </w:tc>
        <w:tc>
          <w:tcPr>
            <w:tcW w:w="1396" w:type="dxa"/>
          </w:tcPr>
          <w:p>
            <w:pPr>
              <w:pStyle w:val="TableParagraph"/>
              <w:rPr>
                <w:sz w:val="14"/>
              </w:rPr>
            </w:pP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8" w:lineRule="exact"/>
              <w:ind w:right="124"/>
              <w:jc w:val="right"/>
              <w:rPr>
                <w:sz w:val="18"/>
              </w:rPr>
            </w:pPr>
            <w:r>
              <w:rPr>
                <w:sz w:val="18"/>
              </w:rPr>
              <w:t>Le Pen</w:t>
            </w:r>
          </w:p>
        </w:tc>
        <w:tc>
          <w:tcPr>
            <w:tcW w:w="736" w:type="dxa"/>
          </w:tcPr>
          <w:p>
            <w:pPr>
              <w:pStyle w:val="TableParagraph"/>
              <w:spacing w:line="188" w:lineRule="exact"/>
              <w:ind w:right="147"/>
              <w:jc w:val="right"/>
              <w:rPr>
                <w:sz w:val="18"/>
              </w:rPr>
            </w:pPr>
            <w:r>
              <w:rPr>
                <w:sz w:val="18"/>
              </w:rPr>
              <w:t>1082</w:t>
            </w:r>
          </w:p>
        </w:tc>
        <w:tc>
          <w:tcPr>
            <w:tcW w:w="1396" w:type="dxa"/>
          </w:tcPr>
          <w:p>
            <w:pPr>
              <w:pStyle w:val="TableParagraph"/>
              <w:rPr>
                <w:sz w:val="14"/>
              </w:rPr>
            </w:pPr>
          </w:p>
        </w:tc>
      </w:tr>
      <w:tr>
        <w:trPr>
          <w:trHeight w:val="206" w:hRule="atLeast"/>
        </w:trPr>
        <w:tc>
          <w:tcPr>
            <w:tcW w:w="711" w:type="dxa"/>
          </w:tcPr>
          <w:p>
            <w:pPr>
              <w:pStyle w:val="TableParagraph"/>
              <w:spacing w:line="186" w:lineRule="exact"/>
              <w:ind w:left="92"/>
              <w:rPr>
                <w:sz w:val="18"/>
              </w:rPr>
            </w:pPr>
            <w:r>
              <w:rPr>
                <w:sz w:val="18"/>
              </w:rPr>
              <w:t>3</w:t>
            </w:r>
          </w:p>
        </w:tc>
        <w:tc>
          <w:tcPr>
            <w:tcW w:w="1536" w:type="dxa"/>
          </w:tcPr>
          <w:p>
            <w:pPr>
              <w:pStyle w:val="TableParagraph"/>
              <w:spacing w:line="186" w:lineRule="exact"/>
              <w:ind w:right="72"/>
              <w:jc w:val="right"/>
              <w:rPr>
                <w:sz w:val="18"/>
              </w:rPr>
            </w:pPr>
            <w:r>
              <w:rPr>
                <w:sz w:val="18"/>
              </w:rPr>
              <w:t>3571</w:t>
            </w:r>
          </w:p>
        </w:tc>
        <w:tc>
          <w:tcPr>
            <w:tcW w:w="622" w:type="dxa"/>
          </w:tcPr>
          <w:p>
            <w:pPr>
              <w:pStyle w:val="TableParagraph"/>
              <w:spacing w:line="186" w:lineRule="exact"/>
              <w:ind w:right="75"/>
              <w:jc w:val="right"/>
              <w:rPr>
                <w:sz w:val="18"/>
              </w:rPr>
            </w:pPr>
            <w:r>
              <w:rPr>
                <w:sz w:val="18"/>
              </w:rPr>
              <w:t>3,6%</w:t>
            </w:r>
          </w:p>
        </w:tc>
        <w:tc>
          <w:tcPr>
            <w:tcW w:w="1249" w:type="dxa"/>
          </w:tcPr>
          <w:p>
            <w:pPr>
              <w:pStyle w:val="TableParagraph"/>
              <w:spacing w:line="186" w:lineRule="exact"/>
              <w:ind w:right="171"/>
              <w:jc w:val="right"/>
              <w:rPr>
                <w:sz w:val="18"/>
              </w:rPr>
            </w:pPr>
            <w:r>
              <w:rPr>
                <w:sz w:val="18"/>
              </w:rPr>
              <w:t>Slaves of the</w:t>
            </w:r>
          </w:p>
        </w:tc>
        <w:tc>
          <w:tcPr>
            <w:tcW w:w="1265" w:type="dxa"/>
          </w:tcPr>
          <w:p>
            <w:pPr>
              <w:pStyle w:val="TableParagraph"/>
              <w:spacing w:line="186" w:lineRule="exact"/>
              <w:ind w:right="124"/>
              <w:jc w:val="right"/>
              <w:rPr>
                <w:sz w:val="18"/>
              </w:rPr>
            </w:pPr>
            <w:r>
              <w:rPr>
                <w:sz w:val="18"/>
              </w:rPr>
              <w:t>vendre</w:t>
            </w:r>
          </w:p>
        </w:tc>
        <w:tc>
          <w:tcPr>
            <w:tcW w:w="736" w:type="dxa"/>
          </w:tcPr>
          <w:p>
            <w:pPr>
              <w:pStyle w:val="TableParagraph"/>
              <w:spacing w:line="186" w:lineRule="exact"/>
              <w:ind w:right="147"/>
              <w:jc w:val="right"/>
              <w:rPr>
                <w:sz w:val="18"/>
              </w:rPr>
            </w:pPr>
            <w:r>
              <w:rPr>
                <w:sz w:val="18"/>
              </w:rPr>
              <w:t>6111</w:t>
            </w:r>
          </w:p>
        </w:tc>
        <w:tc>
          <w:tcPr>
            <w:tcW w:w="1396" w:type="dxa"/>
          </w:tcPr>
          <w:p>
            <w:pPr>
              <w:pStyle w:val="TableParagraph"/>
              <w:spacing w:line="186" w:lineRule="exact"/>
              <w:ind w:right="63"/>
              <w:jc w:val="right"/>
              <w:rPr>
                <w:sz w:val="18"/>
              </w:rPr>
            </w:pPr>
            <w:r>
              <w:rPr>
                <w:sz w:val="18"/>
              </w:rPr>
              <w:t>Negative for the</w:t>
            </w: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spacing w:line="186" w:lineRule="exact"/>
              <w:ind w:right="172"/>
              <w:jc w:val="right"/>
              <w:rPr>
                <w:sz w:val="18"/>
              </w:rPr>
            </w:pPr>
            <w:r>
              <w:rPr>
                <w:sz w:val="18"/>
              </w:rPr>
              <w:t>Trafficking</w:t>
            </w:r>
          </w:p>
        </w:tc>
        <w:tc>
          <w:tcPr>
            <w:tcW w:w="1265" w:type="dxa"/>
          </w:tcPr>
          <w:p>
            <w:pPr>
              <w:pStyle w:val="TableParagraph"/>
              <w:spacing w:line="186" w:lineRule="exact"/>
              <w:ind w:right="127"/>
              <w:jc w:val="right"/>
              <w:rPr>
                <w:sz w:val="18"/>
              </w:rPr>
            </w:pPr>
            <w:r>
              <w:rPr>
                <w:sz w:val="18"/>
              </w:rPr>
              <w:t>Libye</w:t>
            </w:r>
          </w:p>
        </w:tc>
        <w:tc>
          <w:tcPr>
            <w:tcW w:w="736" w:type="dxa"/>
          </w:tcPr>
          <w:p>
            <w:pPr>
              <w:pStyle w:val="TableParagraph"/>
              <w:spacing w:line="186" w:lineRule="exact"/>
              <w:ind w:right="147"/>
              <w:jc w:val="right"/>
              <w:rPr>
                <w:sz w:val="18"/>
              </w:rPr>
            </w:pPr>
            <w:r>
              <w:rPr>
                <w:sz w:val="18"/>
              </w:rPr>
              <w:t>5029</w:t>
            </w:r>
          </w:p>
        </w:tc>
        <w:tc>
          <w:tcPr>
            <w:tcW w:w="1396" w:type="dxa"/>
          </w:tcPr>
          <w:p>
            <w:pPr>
              <w:pStyle w:val="TableParagraph"/>
              <w:spacing w:line="186" w:lineRule="exact"/>
              <w:ind w:right="63"/>
              <w:jc w:val="right"/>
              <w:rPr>
                <w:sz w:val="18"/>
              </w:rPr>
            </w:pPr>
            <w:r>
              <w:rPr>
                <w:sz w:val="18"/>
              </w:rPr>
              <w:t>migrant</w:t>
            </w: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8" w:lineRule="exact"/>
              <w:ind w:right="127"/>
              <w:jc w:val="right"/>
              <w:rPr>
                <w:sz w:val="18"/>
              </w:rPr>
            </w:pPr>
            <w:r>
              <w:rPr>
                <w:sz w:val="18"/>
              </w:rPr>
              <w:t>marché</w:t>
            </w:r>
          </w:p>
        </w:tc>
        <w:tc>
          <w:tcPr>
            <w:tcW w:w="736" w:type="dxa"/>
          </w:tcPr>
          <w:p>
            <w:pPr>
              <w:pStyle w:val="TableParagraph"/>
              <w:spacing w:line="188" w:lineRule="exact"/>
              <w:ind w:right="147"/>
              <w:jc w:val="right"/>
              <w:rPr>
                <w:sz w:val="18"/>
              </w:rPr>
            </w:pPr>
            <w:r>
              <w:rPr>
                <w:sz w:val="18"/>
              </w:rPr>
              <w:t>3943</w:t>
            </w:r>
          </w:p>
        </w:tc>
        <w:tc>
          <w:tcPr>
            <w:tcW w:w="1396" w:type="dxa"/>
          </w:tcPr>
          <w:p>
            <w:pPr>
              <w:pStyle w:val="TableParagraph"/>
              <w:rPr>
                <w:sz w:val="14"/>
              </w:rPr>
            </w:pP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8" w:lineRule="exact"/>
              <w:ind w:right="126"/>
              <w:jc w:val="right"/>
              <w:rPr>
                <w:sz w:val="18"/>
              </w:rPr>
            </w:pPr>
            <w:r>
              <w:rPr>
                <w:sz w:val="18"/>
              </w:rPr>
              <w:t>africain</w:t>
            </w:r>
          </w:p>
        </w:tc>
        <w:tc>
          <w:tcPr>
            <w:tcW w:w="736" w:type="dxa"/>
          </w:tcPr>
          <w:p>
            <w:pPr>
              <w:pStyle w:val="TableParagraph"/>
              <w:spacing w:line="188" w:lineRule="exact"/>
              <w:ind w:right="147"/>
              <w:jc w:val="right"/>
              <w:rPr>
                <w:sz w:val="18"/>
              </w:rPr>
            </w:pPr>
            <w:r>
              <w:rPr>
                <w:sz w:val="18"/>
              </w:rPr>
              <w:t>3720</w:t>
            </w:r>
          </w:p>
        </w:tc>
        <w:tc>
          <w:tcPr>
            <w:tcW w:w="1396" w:type="dxa"/>
          </w:tcPr>
          <w:p>
            <w:pPr>
              <w:pStyle w:val="TableParagraph"/>
              <w:rPr>
                <w:sz w:val="14"/>
              </w:rPr>
            </w:pP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6" w:lineRule="exact"/>
              <w:ind w:right="127"/>
              <w:jc w:val="right"/>
              <w:rPr>
                <w:sz w:val="18"/>
              </w:rPr>
            </w:pPr>
            <w:r>
              <w:rPr>
                <w:sz w:val="18"/>
              </w:rPr>
              <w:t>esclave</w:t>
            </w:r>
          </w:p>
        </w:tc>
        <w:tc>
          <w:tcPr>
            <w:tcW w:w="736" w:type="dxa"/>
          </w:tcPr>
          <w:p>
            <w:pPr>
              <w:pStyle w:val="TableParagraph"/>
              <w:spacing w:line="186" w:lineRule="exact"/>
              <w:ind w:right="147"/>
              <w:jc w:val="right"/>
              <w:rPr>
                <w:sz w:val="18"/>
              </w:rPr>
            </w:pPr>
            <w:r>
              <w:rPr>
                <w:sz w:val="18"/>
              </w:rPr>
              <w:t>3653</w:t>
            </w:r>
          </w:p>
        </w:tc>
        <w:tc>
          <w:tcPr>
            <w:tcW w:w="1396" w:type="dxa"/>
          </w:tcPr>
          <w:p>
            <w:pPr>
              <w:pStyle w:val="TableParagraph"/>
              <w:rPr>
                <w:sz w:val="14"/>
              </w:rPr>
            </w:pP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6" w:lineRule="exact"/>
              <w:ind w:right="127"/>
              <w:jc w:val="right"/>
              <w:rPr>
                <w:sz w:val="18"/>
              </w:rPr>
            </w:pPr>
            <w:r>
              <w:rPr>
                <w:sz w:val="18"/>
              </w:rPr>
              <w:t>esclavage</w:t>
            </w:r>
          </w:p>
        </w:tc>
        <w:tc>
          <w:tcPr>
            <w:tcW w:w="736" w:type="dxa"/>
          </w:tcPr>
          <w:p>
            <w:pPr>
              <w:pStyle w:val="TableParagraph"/>
              <w:spacing w:line="186" w:lineRule="exact"/>
              <w:ind w:right="147"/>
              <w:jc w:val="right"/>
              <w:rPr>
                <w:sz w:val="18"/>
              </w:rPr>
            </w:pPr>
            <w:r>
              <w:rPr>
                <w:sz w:val="18"/>
              </w:rPr>
              <w:t>3046</w:t>
            </w:r>
          </w:p>
        </w:tc>
        <w:tc>
          <w:tcPr>
            <w:tcW w:w="1396" w:type="dxa"/>
          </w:tcPr>
          <w:p>
            <w:pPr>
              <w:pStyle w:val="TableParagraph"/>
              <w:rPr>
                <w:sz w:val="14"/>
              </w:rPr>
            </w:pPr>
          </w:p>
        </w:tc>
      </w:tr>
      <w:tr>
        <w:trPr>
          <w:trHeight w:val="207" w:hRule="atLeast"/>
        </w:trPr>
        <w:tc>
          <w:tcPr>
            <w:tcW w:w="711" w:type="dxa"/>
          </w:tcPr>
          <w:p>
            <w:pPr>
              <w:pStyle w:val="TableParagraph"/>
              <w:spacing w:line="188" w:lineRule="exact"/>
              <w:ind w:left="92"/>
              <w:rPr>
                <w:sz w:val="18"/>
              </w:rPr>
            </w:pPr>
            <w:r>
              <w:rPr>
                <w:sz w:val="18"/>
              </w:rPr>
              <w:t>4</w:t>
            </w:r>
          </w:p>
        </w:tc>
        <w:tc>
          <w:tcPr>
            <w:tcW w:w="1536" w:type="dxa"/>
          </w:tcPr>
          <w:p>
            <w:pPr>
              <w:pStyle w:val="TableParagraph"/>
              <w:spacing w:line="188" w:lineRule="exact"/>
              <w:ind w:right="72"/>
              <w:jc w:val="right"/>
              <w:rPr>
                <w:sz w:val="18"/>
              </w:rPr>
            </w:pPr>
            <w:r>
              <w:rPr>
                <w:sz w:val="18"/>
              </w:rPr>
              <w:t>21178</w:t>
            </w:r>
          </w:p>
        </w:tc>
        <w:tc>
          <w:tcPr>
            <w:tcW w:w="622" w:type="dxa"/>
          </w:tcPr>
          <w:p>
            <w:pPr>
              <w:pStyle w:val="TableParagraph"/>
              <w:spacing w:line="188" w:lineRule="exact"/>
              <w:ind w:right="78"/>
              <w:jc w:val="right"/>
              <w:rPr>
                <w:sz w:val="18"/>
              </w:rPr>
            </w:pPr>
            <w:r>
              <w:rPr>
                <w:sz w:val="18"/>
              </w:rPr>
              <w:t>21,2%</w:t>
            </w:r>
          </w:p>
        </w:tc>
        <w:tc>
          <w:tcPr>
            <w:tcW w:w="1249" w:type="dxa"/>
          </w:tcPr>
          <w:p>
            <w:pPr>
              <w:pStyle w:val="TableParagraph"/>
              <w:spacing w:line="188" w:lineRule="exact"/>
              <w:ind w:right="168"/>
              <w:jc w:val="right"/>
              <w:rPr>
                <w:sz w:val="18"/>
              </w:rPr>
            </w:pPr>
            <w:r>
              <w:rPr>
                <w:sz w:val="18"/>
              </w:rPr>
              <w:t>EU Solidarity</w:t>
            </w:r>
          </w:p>
        </w:tc>
        <w:tc>
          <w:tcPr>
            <w:tcW w:w="1265" w:type="dxa"/>
          </w:tcPr>
          <w:p>
            <w:pPr>
              <w:pStyle w:val="TableParagraph"/>
              <w:spacing w:line="188" w:lineRule="exact"/>
              <w:ind w:right="126"/>
              <w:jc w:val="right"/>
              <w:rPr>
                <w:sz w:val="18"/>
              </w:rPr>
            </w:pPr>
            <w:r>
              <w:rPr>
                <w:sz w:val="18"/>
              </w:rPr>
              <w:t>accueil</w:t>
            </w:r>
          </w:p>
        </w:tc>
        <w:tc>
          <w:tcPr>
            <w:tcW w:w="736" w:type="dxa"/>
          </w:tcPr>
          <w:p>
            <w:pPr>
              <w:pStyle w:val="TableParagraph"/>
              <w:spacing w:line="188" w:lineRule="exact"/>
              <w:ind w:right="147"/>
              <w:jc w:val="right"/>
              <w:rPr>
                <w:sz w:val="18"/>
              </w:rPr>
            </w:pPr>
            <w:r>
              <w:rPr>
                <w:sz w:val="18"/>
              </w:rPr>
              <w:t>2619</w:t>
            </w:r>
          </w:p>
        </w:tc>
        <w:tc>
          <w:tcPr>
            <w:tcW w:w="1396" w:type="dxa"/>
          </w:tcPr>
          <w:p>
            <w:pPr>
              <w:pStyle w:val="TableParagraph"/>
              <w:spacing w:line="188" w:lineRule="exact"/>
              <w:ind w:right="62"/>
              <w:jc w:val="right"/>
              <w:rPr>
                <w:sz w:val="18"/>
              </w:rPr>
            </w:pPr>
            <w:r>
              <w:rPr>
                <w:sz w:val="18"/>
              </w:rPr>
              <w:t>Positive</w:t>
            </w: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spacing w:line="188" w:lineRule="exact"/>
              <w:ind w:right="174"/>
              <w:jc w:val="right"/>
              <w:rPr>
                <w:sz w:val="18"/>
              </w:rPr>
            </w:pPr>
            <w:r>
              <w:rPr>
                <w:sz w:val="18"/>
              </w:rPr>
              <w:t>Target</w:t>
            </w:r>
          </w:p>
        </w:tc>
        <w:tc>
          <w:tcPr>
            <w:tcW w:w="1265" w:type="dxa"/>
          </w:tcPr>
          <w:p>
            <w:pPr>
              <w:pStyle w:val="TableParagraph"/>
              <w:spacing w:line="188" w:lineRule="exact"/>
              <w:ind w:right="126"/>
              <w:jc w:val="right"/>
              <w:rPr>
                <w:sz w:val="18"/>
              </w:rPr>
            </w:pPr>
            <w:r>
              <w:rPr>
                <w:w w:val="95"/>
                <w:sz w:val="18"/>
              </w:rPr>
              <w:t>UE</w:t>
            </w:r>
          </w:p>
        </w:tc>
        <w:tc>
          <w:tcPr>
            <w:tcW w:w="736" w:type="dxa"/>
          </w:tcPr>
          <w:p>
            <w:pPr>
              <w:pStyle w:val="TableParagraph"/>
              <w:spacing w:line="188" w:lineRule="exact"/>
              <w:ind w:right="147"/>
              <w:jc w:val="right"/>
              <w:rPr>
                <w:sz w:val="18"/>
              </w:rPr>
            </w:pPr>
            <w:r>
              <w:rPr>
                <w:sz w:val="18"/>
              </w:rPr>
              <w:t>2448</w:t>
            </w:r>
          </w:p>
        </w:tc>
        <w:tc>
          <w:tcPr>
            <w:tcW w:w="1396" w:type="dxa"/>
          </w:tcPr>
          <w:p>
            <w:pPr>
              <w:pStyle w:val="TableParagraph"/>
              <w:rPr>
                <w:sz w:val="14"/>
              </w:rPr>
            </w:pP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7" w:lineRule="exact"/>
              <w:ind w:right="124"/>
              <w:jc w:val="right"/>
              <w:rPr>
                <w:sz w:val="18"/>
              </w:rPr>
            </w:pPr>
            <w:r>
              <w:rPr>
                <w:sz w:val="18"/>
              </w:rPr>
              <w:t>France</w:t>
            </w:r>
          </w:p>
        </w:tc>
        <w:tc>
          <w:tcPr>
            <w:tcW w:w="736" w:type="dxa"/>
          </w:tcPr>
          <w:p>
            <w:pPr>
              <w:pStyle w:val="TableParagraph"/>
              <w:spacing w:line="187" w:lineRule="exact"/>
              <w:ind w:right="147"/>
              <w:jc w:val="right"/>
              <w:rPr>
                <w:sz w:val="18"/>
              </w:rPr>
            </w:pPr>
            <w:r>
              <w:rPr>
                <w:sz w:val="18"/>
              </w:rPr>
              <w:t>2169</w:t>
            </w:r>
          </w:p>
        </w:tc>
        <w:tc>
          <w:tcPr>
            <w:tcW w:w="1396" w:type="dxa"/>
          </w:tcPr>
          <w:p>
            <w:pPr>
              <w:pStyle w:val="TableParagraph"/>
              <w:rPr>
                <w:sz w:val="14"/>
              </w:rPr>
            </w:pP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7" w:lineRule="exact"/>
              <w:ind w:right="127"/>
              <w:jc w:val="right"/>
              <w:rPr>
                <w:sz w:val="18"/>
              </w:rPr>
            </w:pPr>
            <w:r>
              <w:rPr>
                <w:sz w:val="18"/>
              </w:rPr>
              <w:t>pays</w:t>
            </w:r>
          </w:p>
        </w:tc>
        <w:tc>
          <w:tcPr>
            <w:tcW w:w="736" w:type="dxa"/>
          </w:tcPr>
          <w:p>
            <w:pPr>
              <w:pStyle w:val="TableParagraph"/>
              <w:spacing w:line="187" w:lineRule="exact"/>
              <w:ind w:right="147"/>
              <w:jc w:val="right"/>
              <w:rPr>
                <w:sz w:val="18"/>
              </w:rPr>
            </w:pPr>
            <w:r>
              <w:rPr>
                <w:sz w:val="18"/>
              </w:rPr>
              <w:t>1990</w:t>
            </w:r>
          </w:p>
        </w:tc>
        <w:tc>
          <w:tcPr>
            <w:tcW w:w="1396" w:type="dxa"/>
          </w:tcPr>
          <w:p>
            <w:pPr>
              <w:pStyle w:val="TableParagraph"/>
              <w:rPr>
                <w:sz w:val="14"/>
              </w:rPr>
            </w:pP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8" w:lineRule="exact"/>
              <w:ind w:right="125"/>
              <w:jc w:val="right"/>
              <w:rPr>
                <w:sz w:val="18"/>
              </w:rPr>
            </w:pPr>
            <w:r>
              <w:rPr>
                <w:sz w:val="18"/>
              </w:rPr>
              <w:t>accueillir</w:t>
            </w:r>
          </w:p>
        </w:tc>
        <w:tc>
          <w:tcPr>
            <w:tcW w:w="736" w:type="dxa"/>
          </w:tcPr>
          <w:p>
            <w:pPr>
              <w:pStyle w:val="TableParagraph"/>
              <w:spacing w:line="188" w:lineRule="exact"/>
              <w:ind w:right="147"/>
              <w:jc w:val="right"/>
              <w:rPr>
                <w:sz w:val="18"/>
              </w:rPr>
            </w:pPr>
            <w:r>
              <w:rPr>
                <w:sz w:val="18"/>
              </w:rPr>
              <w:t>1889</w:t>
            </w:r>
          </w:p>
        </w:tc>
        <w:tc>
          <w:tcPr>
            <w:tcW w:w="1396" w:type="dxa"/>
          </w:tcPr>
          <w:p>
            <w:pPr>
              <w:pStyle w:val="TableParagraph"/>
              <w:rPr>
                <w:sz w:val="14"/>
              </w:rPr>
            </w:pP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8" w:lineRule="exact"/>
              <w:ind w:right="127"/>
              <w:jc w:val="right"/>
              <w:rPr>
                <w:sz w:val="18"/>
              </w:rPr>
            </w:pPr>
            <w:r>
              <w:rPr>
                <w:sz w:val="18"/>
              </w:rPr>
              <w:t>migration</w:t>
            </w:r>
          </w:p>
        </w:tc>
        <w:tc>
          <w:tcPr>
            <w:tcW w:w="736" w:type="dxa"/>
          </w:tcPr>
          <w:p>
            <w:pPr>
              <w:pStyle w:val="TableParagraph"/>
              <w:spacing w:line="188" w:lineRule="exact"/>
              <w:ind w:right="147"/>
              <w:jc w:val="right"/>
              <w:rPr>
                <w:sz w:val="18"/>
              </w:rPr>
            </w:pPr>
            <w:r>
              <w:rPr>
                <w:sz w:val="18"/>
              </w:rPr>
              <w:t>1446</w:t>
            </w:r>
          </w:p>
        </w:tc>
        <w:tc>
          <w:tcPr>
            <w:tcW w:w="1396" w:type="dxa"/>
          </w:tcPr>
          <w:p>
            <w:pPr>
              <w:pStyle w:val="TableParagraph"/>
              <w:rPr>
                <w:sz w:val="14"/>
              </w:rPr>
            </w:pPr>
          </w:p>
        </w:tc>
      </w:tr>
      <w:tr>
        <w:trPr>
          <w:trHeight w:val="206" w:hRule="atLeast"/>
        </w:trPr>
        <w:tc>
          <w:tcPr>
            <w:tcW w:w="711" w:type="dxa"/>
          </w:tcPr>
          <w:p>
            <w:pPr>
              <w:pStyle w:val="TableParagraph"/>
              <w:spacing w:line="186" w:lineRule="exact"/>
              <w:ind w:left="92"/>
              <w:rPr>
                <w:sz w:val="18"/>
              </w:rPr>
            </w:pPr>
            <w:r>
              <w:rPr>
                <w:sz w:val="18"/>
              </w:rPr>
              <w:t>5</w:t>
            </w:r>
          </w:p>
        </w:tc>
        <w:tc>
          <w:tcPr>
            <w:tcW w:w="1536" w:type="dxa"/>
          </w:tcPr>
          <w:p>
            <w:pPr>
              <w:pStyle w:val="TableParagraph"/>
              <w:spacing w:line="186" w:lineRule="exact"/>
              <w:ind w:right="72"/>
              <w:jc w:val="right"/>
              <w:rPr>
                <w:sz w:val="18"/>
              </w:rPr>
            </w:pPr>
            <w:r>
              <w:rPr>
                <w:sz w:val="18"/>
              </w:rPr>
              <w:t>17770</w:t>
            </w:r>
          </w:p>
        </w:tc>
        <w:tc>
          <w:tcPr>
            <w:tcW w:w="622" w:type="dxa"/>
          </w:tcPr>
          <w:p>
            <w:pPr>
              <w:pStyle w:val="TableParagraph"/>
              <w:spacing w:line="186" w:lineRule="exact"/>
              <w:ind w:right="78"/>
              <w:jc w:val="right"/>
              <w:rPr>
                <w:sz w:val="18"/>
              </w:rPr>
            </w:pPr>
            <w:r>
              <w:rPr>
                <w:sz w:val="18"/>
              </w:rPr>
              <w:t>17,7%</w:t>
            </w:r>
          </w:p>
        </w:tc>
        <w:tc>
          <w:tcPr>
            <w:tcW w:w="1249" w:type="dxa"/>
          </w:tcPr>
          <w:p>
            <w:pPr>
              <w:pStyle w:val="TableParagraph"/>
              <w:spacing w:line="186" w:lineRule="exact"/>
              <w:ind w:right="171"/>
              <w:jc w:val="right"/>
              <w:rPr>
                <w:sz w:val="18"/>
              </w:rPr>
            </w:pPr>
            <w:r>
              <w:rPr>
                <w:sz w:val="18"/>
              </w:rPr>
              <w:t>Invaders</w:t>
            </w:r>
          </w:p>
        </w:tc>
        <w:tc>
          <w:tcPr>
            <w:tcW w:w="1265" w:type="dxa"/>
          </w:tcPr>
          <w:p>
            <w:pPr>
              <w:pStyle w:val="TableParagraph"/>
              <w:spacing w:line="186" w:lineRule="exact"/>
              <w:ind w:right="126"/>
              <w:jc w:val="right"/>
              <w:rPr>
                <w:sz w:val="18"/>
              </w:rPr>
            </w:pPr>
            <w:r>
              <w:rPr>
                <w:sz w:val="18"/>
              </w:rPr>
              <w:t>camp</w:t>
            </w:r>
          </w:p>
        </w:tc>
        <w:tc>
          <w:tcPr>
            <w:tcW w:w="736" w:type="dxa"/>
          </w:tcPr>
          <w:p>
            <w:pPr>
              <w:pStyle w:val="TableParagraph"/>
              <w:spacing w:line="186" w:lineRule="exact"/>
              <w:ind w:right="147"/>
              <w:jc w:val="right"/>
              <w:rPr>
                <w:sz w:val="18"/>
              </w:rPr>
            </w:pPr>
            <w:r>
              <w:rPr>
                <w:sz w:val="18"/>
              </w:rPr>
              <w:t>3581</w:t>
            </w:r>
          </w:p>
        </w:tc>
        <w:tc>
          <w:tcPr>
            <w:tcW w:w="1396" w:type="dxa"/>
          </w:tcPr>
          <w:p>
            <w:pPr>
              <w:pStyle w:val="TableParagraph"/>
              <w:spacing w:line="186" w:lineRule="exact"/>
              <w:ind w:right="63"/>
              <w:jc w:val="right"/>
              <w:rPr>
                <w:sz w:val="18"/>
              </w:rPr>
            </w:pPr>
            <w:r>
              <w:rPr>
                <w:sz w:val="18"/>
              </w:rPr>
              <w:t>Negative for the</w:t>
            </w: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6" w:lineRule="exact"/>
              <w:ind w:right="122"/>
              <w:jc w:val="right"/>
              <w:rPr>
                <w:sz w:val="18"/>
              </w:rPr>
            </w:pPr>
            <w:r>
              <w:rPr>
                <w:sz w:val="18"/>
              </w:rPr>
              <w:t>cons</w:t>
            </w:r>
          </w:p>
        </w:tc>
        <w:tc>
          <w:tcPr>
            <w:tcW w:w="736" w:type="dxa"/>
          </w:tcPr>
          <w:p>
            <w:pPr>
              <w:pStyle w:val="TableParagraph"/>
              <w:spacing w:line="186" w:lineRule="exact"/>
              <w:ind w:right="147"/>
              <w:jc w:val="right"/>
              <w:rPr>
                <w:sz w:val="18"/>
              </w:rPr>
            </w:pPr>
            <w:r>
              <w:rPr>
                <w:sz w:val="18"/>
              </w:rPr>
              <w:t>3238</w:t>
            </w:r>
          </w:p>
        </w:tc>
        <w:tc>
          <w:tcPr>
            <w:tcW w:w="1396" w:type="dxa"/>
          </w:tcPr>
          <w:p>
            <w:pPr>
              <w:pStyle w:val="TableParagraph"/>
              <w:spacing w:line="186" w:lineRule="exact"/>
              <w:ind w:right="63"/>
              <w:jc w:val="right"/>
              <w:rPr>
                <w:sz w:val="18"/>
              </w:rPr>
            </w:pPr>
            <w:r>
              <w:rPr>
                <w:sz w:val="18"/>
              </w:rPr>
              <w:t>community</w:t>
            </w: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8" w:lineRule="exact"/>
              <w:ind w:right="126"/>
              <w:jc w:val="right"/>
              <w:rPr>
                <w:sz w:val="18"/>
              </w:rPr>
            </w:pPr>
            <w:r>
              <w:rPr>
                <w:sz w:val="18"/>
              </w:rPr>
              <w:t>main</w:t>
            </w:r>
          </w:p>
        </w:tc>
        <w:tc>
          <w:tcPr>
            <w:tcW w:w="736" w:type="dxa"/>
          </w:tcPr>
          <w:p>
            <w:pPr>
              <w:pStyle w:val="TableParagraph"/>
              <w:spacing w:line="188" w:lineRule="exact"/>
              <w:ind w:right="147"/>
              <w:jc w:val="right"/>
              <w:rPr>
                <w:sz w:val="18"/>
              </w:rPr>
            </w:pPr>
            <w:r>
              <w:rPr>
                <w:sz w:val="18"/>
              </w:rPr>
              <w:t>3048</w:t>
            </w:r>
          </w:p>
        </w:tc>
        <w:tc>
          <w:tcPr>
            <w:tcW w:w="1396" w:type="dxa"/>
          </w:tcPr>
          <w:p>
            <w:pPr>
              <w:pStyle w:val="TableParagraph"/>
              <w:rPr>
                <w:sz w:val="14"/>
              </w:rPr>
            </w:pP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8" w:lineRule="exact"/>
              <w:ind w:right="125"/>
              <w:jc w:val="right"/>
              <w:rPr>
                <w:sz w:val="18"/>
              </w:rPr>
            </w:pPr>
            <w:r>
              <w:rPr>
                <w:sz w:val="18"/>
              </w:rPr>
              <w:t>attraper</w:t>
            </w:r>
          </w:p>
        </w:tc>
        <w:tc>
          <w:tcPr>
            <w:tcW w:w="736" w:type="dxa"/>
          </w:tcPr>
          <w:p>
            <w:pPr>
              <w:pStyle w:val="TableParagraph"/>
              <w:spacing w:line="188" w:lineRule="exact"/>
              <w:ind w:right="147"/>
              <w:jc w:val="right"/>
              <w:rPr>
                <w:sz w:val="18"/>
              </w:rPr>
            </w:pPr>
            <w:r>
              <w:rPr>
                <w:sz w:val="18"/>
              </w:rPr>
              <w:t>2940</w:t>
            </w:r>
          </w:p>
        </w:tc>
        <w:tc>
          <w:tcPr>
            <w:tcW w:w="1396" w:type="dxa"/>
          </w:tcPr>
          <w:p>
            <w:pPr>
              <w:pStyle w:val="TableParagraph"/>
              <w:rPr>
                <w:sz w:val="14"/>
              </w:rPr>
            </w:pP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6" w:lineRule="exact"/>
              <w:ind w:right="122"/>
              <w:jc w:val="right"/>
              <w:rPr>
                <w:sz w:val="18"/>
              </w:rPr>
            </w:pPr>
            <w:r>
              <w:rPr>
                <w:sz w:val="18"/>
              </w:rPr>
              <w:t>deconne</w:t>
            </w:r>
          </w:p>
        </w:tc>
        <w:tc>
          <w:tcPr>
            <w:tcW w:w="736" w:type="dxa"/>
          </w:tcPr>
          <w:p>
            <w:pPr>
              <w:pStyle w:val="TableParagraph"/>
              <w:spacing w:line="186" w:lineRule="exact"/>
              <w:ind w:right="147"/>
              <w:jc w:val="right"/>
              <w:rPr>
                <w:sz w:val="18"/>
              </w:rPr>
            </w:pPr>
            <w:r>
              <w:rPr>
                <w:sz w:val="18"/>
              </w:rPr>
              <w:t>2938</w:t>
            </w:r>
          </w:p>
        </w:tc>
        <w:tc>
          <w:tcPr>
            <w:tcW w:w="1396" w:type="dxa"/>
          </w:tcPr>
          <w:p>
            <w:pPr>
              <w:pStyle w:val="TableParagraph"/>
              <w:rPr>
                <w:sz w:val="14"/>
              </w:rPr>
            </w:pP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6" w:lineRule="exact"/>
              <w:ind w:right="126"/>
              <w:jc w:val="right"/>
              <w:rPr>
                <w:sz w:val="18"/>
              </w:rPr>
            </w:pPr>
            <w:r>
              <w:rPr>
                <w:sz w:val="18"/>
              </w:rPr>
              <w:t>flux</w:t>
            </w:r>
          </w:p>
        </w:tc>
        <w:tc>
          <w:tcPr>
            <w:tcW w:w="736" w:type="dxa"/>
          </w:tcPr>
          <w:p>
            <w:pPr>
              <w:pStyle w:val="TableParagraph"/>
              <w:spacing w:line="186" w:lineRule="exact"/>
              <w:ind w:right="147"/>
              <w:jc w:val="right"/>
              <w:rPr>
                <w:sz w:val="18"/>
              </w:rPr>
            </w:pPr>
            <w:r>
              <w:rPr>
                <w:sz w:val="18"/>
              </w:rPr>
              <w:t>1808</w:t>
            </w:r>
          </w:p>
        </w:tc>
        <w:tc>
          <w:tcPr>
            <w:tcW w:w="1396" w:type="dxa"/>
          </w:tcPr>
          <w:p>
            <w:pPr>
              <w:pStyle w:val="TableParagraph"/>
              <w:rPr>
                <w:sz w:val="14"/>
              </w:rPr>
            </w:pPr>
          </w:p>
        </w:tc>
      </w:tr>
      <w:tr>
        <w:trPr>
          <w:trHeight w:val="207" w:hRule="atLeast"/>
        </w:trPr>
        <w:tc>
          <w:tcPr>
            <w:tcW w:w="711" w:type="dxa"/>
          </w:tcPr>
          <w:p>
            <w:pPr>
              <w:pStyle w:val="TableParagraph"/>
              <w:spacing w:line="188" w:lineRule="exact"/>
              <w:ind w:left="92"/>
              <w:rPr>
                <w:sz w:val="18"/>
              </w:rPr>
            </w:pPr>
            <w:r>
              <w:rPr>
                <w:sz w:val="18"/>
              </w:rPr>
              <w:t>6</w:t>
            </w:r>
          </w:p>
        </w:tc>
        <w:tc>
          <w:tcPr>
            <w:tcW w:w="1536" w:type="dxa"/>
          </w:tcPr>
          <w:p>
            <w:pPr>
              <w:pStyle w:val="TableParagraph"/>
              <w:spacing w:line="188" w:lineRule="exact"/>
              <w:ind w:right="72"/>
              <w:jc w:val="right"/>
              <w:rPr>
                <w:sz w:val="18"/>
              </w:rPr>
            </w:pPr>
            <w:r>
              <w:rPr>
                <w:sz w:val="18"/>
              </w:rPr>
              <w:t>21315</w:t>
            </w:r>
          </w:p>
        </w:tc>
        <w:tc>
          <w:tcPr>
            <w:tcW w:w="622" w:type="dxa"/>
          </w:tcPr>
          <w:p>
            <w:pPr>
              <w:pStyle w:val="TableParagraph"/>
              <w:spacing w:line="188" w:lineRule="exact"/>
              <w:ind w:right="78"/>
              <w:jc w:val="right"/>
              <w:rPr>
                <w:sz w:val="18"/>
              </w:rPr>
            </w:pPr>
            <w:r>
              <w:rPr>
                <w:sz w:val="18"/>
              </w:rPr>
              <w:t>21,1%</w:t>
            </w:r>
          </w:p>
        </w:tc>
        <w:tc>
          <w:tcPr>
            <w:tcW w:w="1249" w:type="dxa"/>
          </w:tcPr>
          <w:p>
            <w:pPr>
              <w:pStyle w:val="TableParagraph"/>
              <w:spacing w:line="188" w:lineRule="exact"/>
              <w:ind w:right="171"/>
              <w:jc w:val="right"/>
              <w:rPr>
                <w:sz w:val="18"/>
              </w:rPr>
            </w:pPr>
            <w:r>
              <w:rPr>
                <w:sz w:val="18"/>
              </w:rPr>
              <w:t>Sport Heroes</w:t>
            </w:r>
          </w:p>
        </w:tc>
        <w:tc>
          <w:tcPr>
            <w:tcW w:w="1265" w:type="dxa"/>
          </w:tcPr>
          <w:p>
            <w:pPr>
              <w:pStyle w:val="TableParagraph"/>
              <w:spacing w:line="188" w:lineRule="exact"/>
              <w:ind w:right="124"/>
              <w:jc w:val="right"/>
              <w:rPr>
                <w:sz w:val="18"/>
              </w:rPr>
            </w:pPr>
            <w:r>
              <w:rPr>
                <w:sz w:val="18"/>
              </w:rPr>
              <w:t>Europe</w:t>
            </w:r>
          </w:p>
        </w:tc>
        <w:tc>
          <w:tcPr>
            <w:tcW w:w="736" w:type="dxa"/>
          </w:tcPr>
          <w:p>
            <w:pPr>
              <w:pStyle w:val="TableParagraph"/>
              <w:spacing w:line="188" w:lineRule="exact"/>
              <w:ind w:right="147"/>
              <w:jc w:val="right"/>
              <w:rPr>
                <w:sz w:val="18"/>
              </w:rPr>
            </w:pPr>
            <w:r>
              <w:rPr>
                <w:sz w:val="18"/>
              </w:rPr>
              <w:t>12657</w:t>
            </w:r>
          </w:p>
        </w:tc>
        <w:tc>
          <w:tcPr>
            <w:tcW w:w="1396" w:type="dxa"/>
          </w:tcPr>
          <w:p>
            <w:pPr>
              <w:pStyle w:val="TableParagraph"/>
              <w:spacing w:line="188" w:lineRule="exact"/>
              <w:ind w:right="62"/>
              <w:jc w:val="right"/>
              <w:rPr>
                <w:sz w:val="18"/>
              </w:rPr>
            </w:pPr>
            <w:r>
              <w:rPr>
                <w:sz w:val="18"/>
              </w:rPr>
              <w:t>Positive</w:t>
            </w: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8" w:lineRule="exact"/>
              <w:ind w:right="127"/>
              <w:jc w:val="right"/>
              <w:rPr>
                <w:sz w:val="18"/>
              </w:rPr>
            </w:pPr>
            <w:r>
              <w:rPr>
                <w:sz w:val="18"/>
              </w:rPr>
              <w:t>mettre</w:t>
            </w:r>
          </w:p>
        </w:tc>
        <w:tc>
          <w:tcPr>
            <w:tcW w:w="736" w:type="dxa"/>
          </w:tcPr>
          <w:p>
            <w:pPr>
              <w:pStyle w:val="TableParagraph"/>
              <w:spacing w:line="188" w:lineRule="exact"/>
              <w:ind w:right="147"/>
              <w:jc w:val="right"/>
              <w:rPr>
                <w:sz w:val="18"/>
              </w:rPr>
            </w:pPr>
            <w:r>
              <w:rPr>
                <w:sz w:val="18"/>
              </w:rPr>
              <w:t>2251</w:t>
            </w:r>
          </w:p>
        </w:tc>
        <w:tc>
          <w:tcPr>
            <w:tcW w:w="1396" w:type="dxa"/>
          </w:tcPr>
          <w:p>
            <w:pPr>
              <w:pStyle w:val="TableParagraph"/>
              <w:rPr>
                <w:sz w:val="14"/>
              </w:rPr>
            </w:pP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6" w:lineRule="exact"/>
              <w:ind w:right="124"/>
              <w:jc w:val="right"/>
              <w:rPr>
                <w:sz w:val="18"/>
              </w:rPr>
            </w:pPr>
            <w:r>
              <w:rPr>
                <w:sz w:val="18"/>
              </w:rPr>
              <w:t>France</w:t>
            </w:r>
          </w:p>
        </w:tc>
        <w:tc>
          <w:tcPr>
            <w:tcW w:w="736" w:type="dxa"/>
          </w:tcPr>
          <w:p>
            <w:pPr>
              <w:pStyle w:val="TableParagraph"/>
              <w:spacing w:line="186" w:lineRule="exact"/>
              <w:ind w:right="147"/>
              <w:jc w:val="right"/>
              <w:rPr>
                <w:sz w:val="18"/>
              </w:rPr>
            </w:pPr>
            <w:r>
              <w:rPr>
                <w:sz w:val="18"/>
              </w:rPr>
              <w:t>2242</w:t>
            </w:r>
          </w:p>
        </w:tc>
        <w:tc>
          <w:tcPr>
            <w:tcW w:w="1396" w:type="dxa"/>
          </w:tcPr>
          <w:p>
            <w:pPr>
              <w:pStyle w:val="TableParagraph"/>
              <w:rPr>
                <w:sz w:val="14"/>
              </w:rPr>
            </w:pP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6" w:lineRule="exact"/>
              <w:ind w:right="127"/>
              <w:jc w:val="right"/>
              <w:rPr>
                <w:sz w:val="18"/>
              </w:rPr>
            </w:pPr>
            <w:r>
              <w:rPr>
                <w:sz w:val="18"/>
              </w:rPr>
              <w:t>français</w:t>
            </w:r>
          </w:p>
        </w:tc>
        <w:tc>
          <w:tcPr>
            <w:tcW w:w="736" w:type="dxa"/>
          </w:tcPr>
          <w:p>
            <w:pPr>
              <w:pStyle w:val="TableParagraph"/>
              <w:spacing w:line="186" w:lineRule="exact"/>
              <w:ind w:right="147"/>
              <w:jc w:val="right"/>
              <w:rPr>
                <w:sz w:val="18"/>
              </w:rPr>
            </w:pPr>
            <w:r>
              <w:rPr>
                <w:sz w:val="18"/>
              </w:rPr>
              <w:t>1756</w:t>
            </w:r>
          </w:p>
        </w:tc>
        <w:tc>
          <w:tcPr>
            <w:tcW w:w="1396" w:type="dxa"/>
          </w:tcPr>
          <w:p>
            <w:pPr>
              <w:pStyle w:val="TableParagraph"/>
              <w:rPr>
                <w:sz w:val="14"/>
              </w:rPr>
            </w:pP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8" w:lineRule="exact"/>
              <w:ind w:right="126"/>
              <w:jc w:val="right"/>
              <w:rPr>
                <w:sz w:val="18"/>
              </w:rPr>
            </w:pPr>
            <w:r>
              <w:rPr>
                <w:sz w:val="18"/>
              </w:rPr>
              <w:t>champion</w:t>
            </w:r>
          </w:p>
        </w:tc>
        <w:tc>
          <w:tcPr>
            <w:tcW w:w="736" w:type="dxa"/>
          </w:tcPr>
          <w:p>
            <w:pPr>
              <w:pStyle w:val="TableParagraph"/>
              <w:spacing w:line="188" w:lineRule="exact"/>
              <w:ind w:right="147"/>
              <w:jc w:val="right"/>
              <w:rPr>
                <w:sz w:val="18"/>
              </w:rPr>
            </w:pPr>
            <w:r>
              <w:rPr>
                <w:sz w:val="18"/>
              </w:rPr>
              <w:t>1660</w:t>
            </w:r>
          </w:p>
        </w:tc>
        <w:tc>
          <w:tcPr>
            <w:tcW w:w="1396" w:type="dxa"/>
          </w:tcPr>
          <w:p>
            <w:pPr>
              <w:pStyle w:val="TableParagraph"/>
              <w:rPr>
                <w:sz w:val="14"/>
              </w:rPr>
            </w:pP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8" w:lineRule="exact"/>
              <w:ind w:right="125"/>
              <w:jc w:val="right"/>
              <w:rPr>
                <w:sz w:val="18"/>
              </w:rPr>
            </w:pPr>
            <w:r>
              <w:rPr>
                <w:sz w:val="18"/>
              </w:rPr>
              <w:t>seul</w:t>
            </w:r>
          </w:p>
        </w:tc>
        <w:tc>
          <w:tcPr>
            <w:tcW w:w="736" w:type="dxa"/>
          </w:tcPr>
          <w:p>
            <w:pPr>
              <w:pStyle w:val="TableParagraph"/>
              <w:spacing w:line="188" w:lineRule="exact"/>
              <w:ind w:right="147"/>
              <w:jc w:val="right"/>
              <w:rPr>
                <w:sz w:val="18"/>
              </w:rPr>
            </w:pPr>
            <w:r>
              <w:rPr>
                <w:sz w:val="18"/>
              </w:rPr>
              <w:t>1653</w:t>
            </w:r>
          </w:p>
        </w:tc>
        <w:tc>
          <w:tcPr>
            <w:tcW w:w="1396" w:type="dxa"/>
          </w:tcPr>
          <w:p>
            <w:pPr>
              <w:pStyle w:val="TableParagraph"/>
              <w:rPr>
                <w:sz w:val="14"/>
              </w:rPr>
            </w:pPr>
          </w:p>
        </w:tc>
      </w:tr>
      <w:tr>
        <w:trPr>
          <w:trHeight w:val="206" w:hRule="atLeast"/>
        </w:trPr>
        <w:tc>
          <w:tcPr>
            <w:tcW w:w="711" w:type="dxa"/>
          </w:tcPr>
          <w:p>
            <w:pPr>
              <w:pStyle w:val="TableParagraph"/>
              <w:spacing w:line="186" w:lineRule="exact"/>
              <w:ind w:left="92"/>
              <w:rPr>
                <w:sz w:val="18"/>
              </w:rPr>
            </w:pPr>
            <w:r>
              <w:rPr>
                <w:sz w:val="18"/>
              </w:rPr>
              <w:t>7</w:t>
            </w:r>
          </w:p>
        </w:tc>
        <w:tc>
          <w:tcPr>
            <w:tcW w:w="1536" w:type="dxa"/>
          </w:tcPr>
          <w:p>
            <w:pPr>
              <w:pStyle w:val="TableParagraph"/>
              <w:spacing w:line="186" w:lineRule="exact"/>
              <w:ind w:right="72"/>
              <w:jc w:val="right"/>
              <w:rPr>
                <w:sz w:val="18"/>
              </w:rPr>
            </w:pPr>
            <w:r>
              <w:rPr>
                <w:sz w:val="18"/>
              </w:rPr>
              <w:t>8795</w:t>
            </w:r>
          </w:p>
        </w:tc>
        <w:tc>
          <w:tcPr>
            <w:tcW w:w="622" w:type="dxa"/>
          </w:tcPr>
          <w:p>
            <w:pPr>
              <w:pStyle w:val="TableParagraph"/>
              <w:spacing w:line="186" w:lineRule="exact"/>
              <w:ind w:right="75"/>
              <w:jc w:val="right"/>
              <w:rPr>
                <w:sz w:val="18"/>
              </w:rPr>
            </w:pPr>
            <w:r>
              <w:rPr>
                <w:sz w:val="18"/>
              </w:rPr>
              <w:t>8,8%</w:t>
            </w:r>
          </w:p>
        </w:tc>
        <w:tc>
          <w:tcPr>
            <w:tcW w:w="1249" w:type="dxa"/>
          </w:tcPr>
          <w:p>
            <w:pPr>
              <w:pStyle w:val="TableParagraph"/>
              <w:spacing w:line="186" w:lineRule="exact"/>
              <w:ind w:right="172"/>
              <w:jc w:val="right"/>
              <w:rPr>
                <w:sz w:val="18"/>
              </w:rPr>
            </w:pPr>
            <w:r>
              <w:rPr>
                <w:sz w:val="18"/>
              </w:rPr>
              <w:t>Migration</w:t>
            </w:r>
          </w:p>
        </w:tc>
        <w:tc>
          <w:tcPr>
            <w:tcW w:w="1265" w:type="dxa"/>
          </w:tcPr>
          <w:p>
            <w:pPr>
              <w:pStyle w:val="TableParagraph"/>
              <w:spacing w:line="186" w:lineRule="exact"/>
              <w:ind w:right="125"/>
              <w:jc w:val="right"/>
              <w:rPr>
                <w:sz w:val="18"/>
              </w:rPr>
            </w:pPr>
            <w:r>
              <w:rPr>
                <w:sz w:val="18"/>
              </w:rPr>
              <w:t>Méditerranée</w:t>
            </w:r>
          </w:p>
        </w:tc>
        <w:tc>
          <w:tcPr>
            <w:tcW w:w="736" w:type="dxa"/>
          </w:tcPr>
          <w:p>
            <w:pPr>
              <w:pStyle w:val="TableParagraph"/>
              <w:spacing w:line="186" w:lineRule="exact"/>
              <w:ind w:right="147"/>
              <w:jc w:val="right"/>
              <w:rPr>
                <w:sz w:val="18"/>
              </w:rPr>
            </w:pPr>
            <w:r>
              <w:rPr>
                <w:sz w:val="18"/>
              </w:rPr>
              <w:t>1261</w:t>
            </w:r>
          </w:p>
        </w:tc>
        <w:tc>
          <w:tcPr>
            <w:tcW w:w="1396" w:type="dxa"/>
          </w:tcPr>
          <w:p>
            <w:pPr>
              <w:pStyle w:val="TableParagraph"/>
              <w:spacing w:line="186" w:lineRule="exact"/>
              <w:ind w:right="63"/>
              <w:jc w:val="right"/>
              <w:rPr>
                <w:sz w:val="18"/>
              </w:rPr>
            </w:pPr>
            <w:r>
              <w:rPr>
                <w:sz w:val="18"/>
              </w:rPr>
              <w:t>Negative for the</w:t>
            </w: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spacing w:line="187" w:lineRule="exact"/>
              <w:ind w:right="173"/>
              <w:jc w:val="right"/>
              <w:rPr>
                <w:sz w:val="18"/>
              </w:rPr>
            </w:pPr>
            <w:r>
              <w:rPr>
                <w:sz w:val="18"/>
              </w:rPr>
              <w:t>victims</w:t>
            </w:r>
          </w:p>
        </w:tc>
        <w:tc>
          <w:tcPr>
            <w:tcW w:w="1265" w:type="dxa"/>
          </w:tcPr>
          <w:p>
            <w:pPr>
              <w:pStyle w:val="TableParagraph"/>
              <w:spacing w:line="187" w:lineRule="exact"/>
              <w:ind w:right="125"/>
              <w:jc w:val="right"/>
              <w:rPr>
                <w:sz w:val="18"/>
              </w:rPr>
            </w:pPr>
            <w:r>
              <w:rPr>
                <w:sz w:val="18"/>
              </w:rPr>
              <w:t>mourir</w:t>
            </w:r>
          </w:p>
        </w:tc>
        <w:tc>
          <w:tcPr>
            <w:tcW w:w="736" w:type="dxa"/>
          </w:tcPr>
          <w:p>
            <w:pPr>
              <w:pStyle w:val="TableParagraph"/>
              <w:spacing w:line="187" w:lineRule="exact"/>
              <w:ind w:right="147"/>
              <w:jc w:val="right"/>
              <w:rPr>
                <w:sz w:val="18"/>
              </w:rPr>
            </w:pPr>
            <w:r>
              <w:rPr>
                <w:sz w:val="18"/>
              </w:rPr>
              <w:t>1209</w:t>
            </w:r>
          </w:p>
        </w:tc>
        <w:tc>
          <w:tcPr>
            <w:tcW w:w="1396" w:type="dxa"/>
          </w:tcPr>
          <w:p>
            <w:pPr>
              <w:pStyle w:val="TableParagraph"/>
              <w:spacing w:line="187" w:lineRule="exact"/>
              <w:ind w:right="63"/>
              <w:jc w:val="right"/>
              <w:rPr>
                <w:sz w:val="18"/>
              </w:rPr>
            </w:pPr>
            <w:r>
              <w:rPr>
                <w:sz w:val="18"/>
              </w:rPr>
              <w:t>migrant</w:t>
            </w: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8" w:lineRule="exact"/>
              <w:ind w:right="128"/>
              <w:jc w:val="right"/>
              <w:rPr>
                <w:sz w:val="18"/>
              </w:rPr>
            </w:pPr>
            <w:r>
              <w:rPr>
                <w:sz w:val="18"/>
              </w:rPr>
              <w:t>mort</w:t>
            </w:r>
          </w:p>
        </w:tc>
        <w:tc>
          <w:tcPr>
            <w:tcW w:w="736" w:type="dxa"/>
          </w:tcPr>
          <w:p>
            <w:pPr>
              <w:pStyle w:val="TableParagraph"/>
              <w:spacing w:line="188" w:lineRule="exact"/>
              <w:ind w:right="147"/>
              <w:jc w:val="right"/>
              <w:rPr>
                <w:sz w:val="18"/>
              </w:rPr>
            </w:pPr>
            <w:r>
              <w:rPr>
                <w:sz w:val="18"/>
              </w:rPr>
              <w:t>879</w:t>
            </w:r>
          </w:p>
        </w:tc>
        <w:tc>
          <w:tcPr>
            <w:tcW w:w="1396" w:type="dxa"/>
          </w:tcPr>
          <w:p>
            <w:pPr>
              <w:pStyle w:val="TableParagraph"/>
              <w:rPr>
                <w:sz w:val="14"/>
              </w:rPr>
            </w:pPr>
          </w:p>
        </w:tc>
      </w:tr>
      <w:tr>
        <w:trPr>
          <w:trHeight w:val="207"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8" w:lineRule="exact"/>
              <w:ind w:right="124"/>
              <w:jc w:val="right"/>
              <w:rPr>
                <w:sz w:val="18"/>
              </w:rPr>
            </w:pPr>
            <w:r>
              <w:rPr>
                <w:sz w:val="18"/>
              </w:rPr>
              <w:t>silence</w:t>
            </w:r>
          </w:p>
        </w:tc>
        <w:tc>
          <w:tcPr>
            <w:tcW w:w="736" w:type="dxa"/>
          </w:tcPr>
          <w:p>
            <w:pPr>
              <w:pStyle w:val="TableParagraph"/>
              <w:spacing w:line="188" w:lineRule="exact"/>
              <w:ind w:right="147"/>
              <w:jc w:val="right"/>
              <w:rPr>
                <w:sz w:val="18"/>
              </w:rPr>
            </w:pPr>
            <w:r>
              <w:rPr>
                <w:sz w:val="18"/>
              </w:rPr>
              <w:t>769</w:t>
            </w:r>
          </w:p>
        </w:tc>
        <w:tc>
          <w:tcPr>
            <w:tcW w:w="1396" w:type="dxa"/>
          </w:tcPr>
          <w:p>
            <w:pPr>
              <w:pStyle w:val="TableParagraph"/>
              <w:rPr>
                <w:sz w:val="14"/>
              </w:rPr>
            </w:pPr>
          </w:p>
        </w:tc>
      </w:tr>
      <w:tr>
        <w:trPr>
          <w:trHeight w:val="206" w:hRule="atLeast"/>
        </w:trPr>
        <w:tc>
          <w:tcPr>
            <w:tcW w:w="711" w:type="dxa"/>
          </w:tcPr>
          <w:p>
            <w:pPr>
              <w:pStyle w:val="TableParagraph"/>
              <w:rPr>
                <w:sz w:val="14"/>
              </w:rPr>
            </w:pPr>
          </w:p>
        </w:tc>
        <w:tc>
          <w:tcPr>
            <w:tcW w:w="1536" w:type="dxa"/>
          </w:tcPr>
          <w:p>
            <w:pPr>
              <w:pStyle w:val="TableParagraph"/>
              <w:rPr>
                <w:sz w:val="14"/>
              </w:rPr>
            </w:pPr>
          </w:p>
        </w:tc>
        <w:tc>
          <w:tcPr>
            <w:tcW w:w="622" w:type="dxa"/>
          </w:tcPr>
          <w:p>
            <w:pPr>
              <w:pStyle w:val="TableParagraph"/>
              <w:rPr>
                <w:sz w:val="14"/>
              </w:rPr>
            </w:pPr>
          </w:p>
        </w:tc>
        <w:tc>
          <w:tcPr>
            <w:tcW w:w="1249" w:type="dxa"/>
          </w:tcPr>
          <w:p>
            <w:pPr>
              <w:pStyle w:val="TableParagraph"/>
              <w:rPr>
                <w:sz w:val="14"/>
              </w:rPr>
            </w:pPr>
          </w:p>
        </w:tc>
        <w:tc>
          <w:tcPr>
            <w:tcW w:w="1265" w:type="dxa"/>
          </w:tcPr>
          <w:p>
            <w:pPr>
              <w:pStyle w:val="TableParagraph"/>
              <w:spacing w:line="186" w:lineRule="exact"/>
              <w:ind w:right="125"/>
              <w:jc w:val="right"/>
              <w:rPr>
                <w:sz w:val="18"/>
              </w:rPr>
            </w:pPr>
            <w:r>
              <w:rPr>
                <w:sz w:val="18"/>
              </w:rPr>
              <w:t>secourir</w:t>
            </w:r>
          </w:p>
        </w:tc>
        <w:tc>
          <w:tcPr>
            <w:tcW w:w="736" w:type="dxa"/>
          </w:tcPr>
          <w:p>
            <w:pPr>
              <w:pStyle w:val="TableParagraph"/>
              <w:spacing w:line="186" w:lineRule="exact"/>
              <w:ind w:right="147"/>
              <w:jc w:val="right"/>
              <w:rPr>
                <w:sz w:val="18"/>
              </w:rPr>
            </w:pPr>
            <w:r>
              <w:rPr>
                <w:sz w:val="18"/>
              </w:rPr>
              <w:t>733</w:t>
            </w:r>
          </w:p>
        </w:tc>
        <w:tc>
          <w:tcPr>
            <w:tcW w:w="1396" w:type="dxa"/>
          </w:tcPr>
          <w:p>
            <w:pPr>
              <w:pStyle w:val="TableParagraph"/>
              <w:rPr>
                <w:sz w:val="14"/>
              </w:rPr>
            </w:pPr>
          </w:p>
        </w:tc>
      </w:tr>
      <w:tr>
        <w:trPr>
          <w:trHeight w:val="206" w:hRule="atLeast"/>
        </w:trPr>
        <w:tc>
          <w:tcPr>
            <w:tcW w:w="711" w:type="dxa"/>
            <w:tcBorders>
              <w:bottom w:val="single" w:sz="4" w:space="0" w:color="000000"/>
            </w:tcBorders>
          </w:tcPr>
          <w:p>
            <w:pPr>
              <w:pStyle w:val="TableParagraph"/>
              <w:rPr>
                <w:sz w:val="14"/>
              </w:rPr>
            </w:pPr>
          </w:p>
        </w:tc>
        <w:tc>
          <w:tcPr>
            <w:tcW w:w="1536" w:type="dxa"/>
            <w:tcBorders>
              <w:bottom w:val="single" w:sz="4" w:space="0" w:color="000000"/>
            </w:tcBorders>
          </w:tcPr>
          <w:p>
            <w:pPr>
              <w:pStyle w:val="TableParagraph"/>
              <w:rPr>
                <w:sz w:val="14"/>
              </w:rPr>
            </w:pPr>
          </w:p>
        </w:tc>
        <w:tc>
          <w:tcPr>
            <w:tcW w:w="622" w:type="dxa"/>
            <w:tcBorders>
              <w:bottom w:val="single" w:sz="4" w:space="0" w:color="000000"/>
            </w:tcBorders>
          </w:tcPr>
          <w:p>
            <w:pPr>
              <w:pStyle w:val="TableParagraph"/>
              <w:rPr>
                <w:sz w:val="14"/>
              </w:rPr>
            </w:pPr>
          </w:p>
        </w:tc>
        <w:tc>
          <w:tcPr>
            <w:tcW w:w="1249" w:type="dxa"/>
            <w:tcBorders>
              <w:bottom w:val="single" w:sz="4" w:space="0" w:color="000000"/>
            </w:tcBorders>
          </w:tcPr>
          <w:p>
            <w:pPr>
              <w:pStyle w:val="TableParagraph"/>
              <w:rPr>
                <w:sz w:val="14"/>
              </w:rPr>
            </w:pPr>
          </w:p>
        </w:tc>
        <w:tc>
          <w:tcPr>
            <w:tcW w:w="1265" w:type="dxa"/>
            <w:tcBorders>
              <w:bottom w:val="single" w:sz="4" w:space="0" w:color="000000"/>
            </w:tcBorders>
          </w:tcPr>
          <w:p>
            <w:pPr>
              <w:pStyle w:val="TableParagraph"/>
              <w:spacing w:line="187" w:lineRule="exact"/>
              <w:ind w:right="125"/>
              <w:jc w:val="right"/>
              <w:rPr>
                <w:sz w:val="18"/>
              </w:rPr>
            </w:pPr>
            <w:r>
              <w:rPr>
                <w:sz w:val="18"/>
              </w:rPr>
              <w:t>minute</w:t>
            </w:r>
          </w:p>
        </w:tc>
        <w:tc>
          <w:tcPr>
            <w:tcW w:w="736" w:type="dxa"/>
            <w:tcBorders>
              <w:bottom w:val="single" w:sz="4" w:space="0" w:color="000000"/>
            </w:tcBorders>
          </w:tcPr>
          <w:p>
            <w:pPr>
              <w:pStyle w:val="TableParagraph"/>
              <w:spacing w:line="187" w:lineRule="exact"/>
              <w:ind w:right="147"/>
              <w:jc w:val="right"/>
              <w:rPr>
                <w:sz w:val="18"/>
              </w:rPr>
            </w:pPr>
            <w:r>
              <w:rPr>
                <w:sz w:val="18"/>
              </w:rPr>
              <w:t>699</w:t>
            </w:r>
          </w:p>
        </w:tc>
        <w:tc>
          <w:tcPr>
            <w:tcW w:w="1396" w:type="dxa"/>
            <w:tcBorders>
              <w:bottom w:val="single" w:sz="4" w:space="0" w:color="000000"/>
            </w:tcBorders>
          </w:tcPr>
          <w:p>
            <w:pPr>
              <w:pStyle w:val="TableParagraph"/>
              <w:rPr>
                <w:sz w:val="14"/>
              </w:rPr>
            </w:pPr>
          </w:p>
        </w:tc>
      </w:tr>
    </w:tbl>
    <w:p>
      <w:pPr>
        <w:spacing w:before="0"/>
        <w:ind w:left="629" w:right="460" w:firstLine="0"/>
        <w:jc w:val="center"/>
        <w:rPr>
          <w:i/>
          <w:sz w:val="16"/>
        </w:rPr>
      </w:pPr>
      <w:r>
        <w:rPr>
          <w:i/>
          <w:sz w:val="16"/>
        </w:rPr>
        <w:t>The first six keywords of the cluster are ordered by the number of context units (CU) classified in the cluster.</w:t>
      </w:r>
    </w:p>
    <w:p>
      <w:pPr>
        <w:spacing w:after="0"/>
        <w:jc w:val="center"/>
        <w:rPr>
          <w:sz w:val="16"/>
        </w:rPr>
        <w:sectPr>
          <w:pgSz w:w="11910" w:h="16840"/>
          <w:pgMar w:header="2838" w:footer="0" w:top="3040" w:bottom="280" w:left="1680" w:right="1680"/>
        </w:sectPr>
      </w:pPr>
    </w:p>
    <w:p>
      <w:pPr>
        <w:pStyle w:val="BodyText"/>
        <w:spacing w:before="5"/>
        <w:rPr>
          <w:i/>
          <w:sz w:val="12"/>
        </w:rPr>
      </w:pPr>
    </w:p>
    <w:p>
      <w:pPr>
        <w:spacing w:before="100"/>
        <w:ind w:left="588" w:right="0" w:firstLine="0"/>
        <w:jc w:val="left"/>
        <w:rPr>
          <w:i/>
          <w:sz w:val="20"/>
        </w:rPr>
      </w:pPr>
      <w:r>
        <w:rPr/>
        <w:drawing>
          <wp:anchor distT="0" distB="0" distL="0" distR="0" allowOverlap="1" layoutInCell="1" locked="0" behindDoc="0" simplePos="0" relativeHeight="1120">
            <wp:simplePos x="0" y="0"/>
            <wp:positionH relativeFrom="page">
              <wp:posOffset>2218054</wp:posOffset>
            </wp:positionH>
            <wp:positionV relativeFrom="paragraph">
              <wp:posOffset>297607</wp:posOffset>
            </wp:positionV>
            <wp:extent cx="3125756" cy="2720149"/>
            <wp:effectExtent l="0" t="0" r="0" b="0"/>
            <wp:wrapTopAndBottom/>
            <wp:docPr id="7" name="image4.png" descr=""/>
            <wp:cNvGraphicFramePr>
              <a:graphicFrameLocks noChangeAspect="1"/>
            </wp:cNvGraphicFramePr>
            <a:graphic>
              <a:graphicData uri="http://schemas.openxmlformats.org/drawingml/2006/picture">
                <pic:pic>
                  <pic:nvPicPr>
                    <pic:cNvPr id="8" name="image4.png"/>
                    <pic:cNvPicPr/>
                  </pic:nvPicPr>
                  <pic:blipFill>
                    <a:blip r:embed="rId10" cstate="print"/>
                    <a:stretch>
                      <a:fillRect/>
                    </a:stretch>
                  </pic:blipFill>
                  <pic:spPr>
                    <a:xfrm>
                      <a:off x="0" y="0"/>
                      <a:ext cx="3125756" cy="2720149"/>
                    </a:xfrm>
                    <a:prstGeom prst="rect">
                      <a:avLst/>
                    </a:prstGeom>
                  </pic:spPr>
                </pic:pic>
              </a:graphicData>
            </a:graphic>
          </wp:anchor>
        </w:drawing>
      </w:r>
      <w:r>
        <w:rPr>
          <w:b/>
          <w:sz w:val="20"/>
        </w:rPr>
        <w:t>Figure 4 </w:t>
      </w:r>
      <w:r>
        <w:rPr>
          <w:rFonts w:ascii="Symbol" w:hAnsi="Symbol"/>
          <w:b/>
          <w:sz w:val="20"/>
        </w:rPr>
        <w:t></w:t>
      </w:r>
      <w:r>
        <w:rPr>
          <w:b/>
          <w:sz w:val="20"/>
        </w:rPr>
        <w:t> </w:t>
      </w:r>
      <w:r>
        <w:rPr>
          <w:i/>
          <w:sz w:val="20"/>
        </w:rPr>
        <w:t>Cluster size</w:t>
      </w:r>
    </w:p>
    <w:p>
      <w:pPr>
        <w:pStyle w:val="BodyText"/>
        <w:spacing w:before="211"/>
        <w:ind w:left="588" w:right="582"/>
        <w:jc w:val="both"/>
      </w:pPr>
      <w:r>
        <w:rPr/>
        <w:t>squatters, or undesirable guests. The second label highlights the association that is made between migration and security. Migrants are represented as terrorists, as aggressors, and the variety of citizens’ religious choices are perceived as an obstruction to cohabitation. Migration is represented as a risk factor for security because it favours terrorism, and this association seems to be driven by the speeches of Marine Le Pen. The third cluster refers to human trafficking, that changes the sense of mobility from a voluntary choice to an unfortunate destiny, transforming the journey of hope into a nightmare and the migrants into slaves. The fourth cluster reflects the EU reception policy, in which receiving, hosting, and integrating migrants are some of the actions needed that call for solidarity from French citizens. In the fifth cluster, migrants are perceived as invaders, which is a thematic that often appears in Marine Le Pen’s electoral discourses. Among the words of this cluster, there are words such as </w:t>
      </w:r>
      <w:r>
        <w:rPr>
          <w:i/>
        </w:rPr>
        <w:t>border, stop, wave, to control </w:t>
      </w:r>
      <w:r>
        <w:rPr/>
        <w:t>(frontière, arrêter, vague, maîtriser) which are associated insults and swearing, highlighting the elevated level of anger. The sixth cluster represents migrants such as sport heroes, bringing prestige to the country. There are the first names, or surnames of famous football players and artistic gymnastic champions among the word of this cluster that are associated with </w:t>
      </w:r>
      <w:r>
        <w:rPr>
          <w:i/>
        </w:rPr>
        <w:t>goal</w:t>
      </w:r>
      <w:r>
        <w:rPr/>
        <w:t>, </w:t>
      </w:r>
      <w:r>
        <w:rPr>
          <w:i/>
        </w:rPr>
        <w:t>cup </w:t>
      </w:r>
      <w:r>
        <w:rPr/>
        <w:t>but also </w:t>
      </w:r>
      <w:r>
        <w:rPr>
          <w:i/>
        </w:rPr>
        <w:t>diversity</w:t>
      </w:r>
      <w:r>
        <w:rPr/>
        <w:t>. In this cluster, diversity seems to be a positive value that distinguishes sport players. Lastly,</w:t>
      </w:r>
      <w:r>
        <w:rPr>
          <w:spacing w:val="32"/>
        </w:rPr>
        <w:t> </w:t>
      </w:r>
      <w:r>
        <w:rPr/>
        <w:t>the</w:t>
      </w:r>
      <w:r>
        <w:rPr>
          <w:spacing w:val="31"/>
        </w:rPr>
        <w:t> </w:t>
      </w:r>
      <w:r>
        <w:rPr/>
        <w:t>seventh</w:t>
      </w:r>
      <w:r>
        <w:rPr>
          <w:spacing w:val="30"/>
        </w:rPr>
        <w:t> </w:t>
      </w:r>
      <w:r>
        <w:rPr/>
        <w:t>cluster</w:t>
      </w:r>
      <w:r>
        <w:rPr>
          <w:spacing w:val="30"/>
        </w:rPr>
        <w:t> </w:t>
      </w:r>
      <w:r>
        <w:rPr/>
        <w:t>reflects</w:t>
      </w:r>
      <w:r>
        <w:rPr>
          <w:spacing w:val="30"/>
        </w:rPr>
        <w:t> </w:t>
      </w:r>
      <w:r>
        <w:rPr/>
        <w:t>the</w:t>
      </w:r>
      <w:r>
        <w:rPr>
          <w:spacing w:val="30"/>
        </w:rPr>
        <w:t> </w:t>
      </w:r>
      <w:r>
        <w:rPr/>
        <w:t>dangers</w:t>
      </w:r>
      <w:r>
        <w:rPr>
          <w:spacing w:val="30"/>
        </w:rPr>
        <w:t> </w:t>
      </w:r>
      <w:r>
        <w:rPr/>
        <w:t>entailed</w:t>
      </w:r>
      <w:r>
        <w:rPr>
          <w:spacing w:val="32"/>
        </w:rPr>
        <w:t> </w:t>
      </w:r>
      <w:r>
        <w:rPr/>
        <w:t>in</w:t>
      </w:r>
      <w:r>
        <w:rPr>
          <w:spacing w:val="30"/>
        </w:rPr>
        <w:t> </w:t>
      </w:r>
      <w:r>
        <w:rPr/>
        <w:t>the</w:t>
      </w:r>
      <w:r>
        <w:rPr>
          <w:spacing w:val="31"/>
        </w:rPr>
        <w:t> </w:t>
      </w:r>
      <w:r>
        <w:rPr/>
        <w:t>migration</w:t>
      </w:r>
      <w:r>
        <w:rPr>
          <w:spacing w:val="30"/>
        </w:rPr>
        <w:t> </w:t>
      </w:r>
      <w:r>
        <w:rPr/>
        <w:t>journey</w:t>
      </w:r>
    </w:p>
    <w:p>
      <w:pPr>
        <w:spacing w:after="0"/>
        <w:jc w:val="both"/>
        <w:sectPr>
          <w:pgSz w:w="11910" w:h="16840"/>
          <w:pgMar w:header="2838" w:footer="0" w:top="3040" w:bottom="280" w:left="1680" w:right="1680"/>
        </w:sectPr>
      </w:pPr>
    </w:p>
    <w:p>
      <w:pPr>
        <w:pStyle w:val="BodyText"/>
        <w:rPr>
          <w:sz w:val="13"/>
        </w:rPr>
      </w:pPr>
    </w:p>
    <w:p>
      <w:pPr>
        <w:pStyle w:val="BodyText"/>
        <w:spacing w:before="91"/>
        <w:ind w:left="588"/>
      </w:pPr>
      <w:r>
        <w:rPr/>
        <w:t>that puts people’s life in jeopardy. Only a part of the sea travellers through the Mediterranean Sea will land, some of them will never arrive nor return.</w:t>
      </w:r>
    </w:p>
    <w:p>
      <w:pPr>
        <w:pStyle w:val="BodyText"/>
        <w:spacing w:before="1"/>
        <w:ind w:left="588" w:right="582" w:firstLine="283"/>
        <w:jc w:val="both"/>
      </w:pPr>
      <w:r>
        <w:rPr/>
        <w:t>By the clusters interpretation, we detected seven different representations of migrants that correspond to three different sentiments: positive, negative for the community, and negative for migrants (table 2). We have considered as negative the representation of migrants as squatters, invaders, terrorists, trafficking slaves and migration victims, and positive the sport heroes and the EU solidarity target. Among the negative clusters, we distinguished negativity according to the direction of the action: squatters, terrorists and invaders are negative for the community and trafficking slaves and migration victims are negatives for migrants themselves. In figure 5, the size of the three sentiments are</w:t>
      </w:r>
      <w:r>
        <w:rPr>
          <w:spacing w:val="-8"/>
        </w:rPr>
        <w:t> </w:t>
      </w:r>
      <w:r>
        <w:rPr/>
        <w:t>displayed.</w:t>
      </w:r>
    </w:p>
    <w:p>
      <w:pPr>
        <w:spacing w:before="120"/>
        <w:ind w:left="588" w:right="0" w:firstLine="0"/>
        <w:jc w:val="left"/>
        <w:rPr>
          <w:i/>
          <w:sz w:val="20"/>
        </w:rPr>
      </w:pPr>
      <w:r>
        <w:rPr>
          <w:b/>
          <w:sz w:val="20"/>
        </w:rPr>
        <w:t>Figure 5 </w:t>
      </w:r>
      <w:r>
        <w:rPr>
          <w:rFonts w:ascii="Symbol" w:hAnsi="Symbol"/>
          <w:b/>
          <w:sz w:val="20"/>
        </w:rPr>
        <w:t></w:t>
      </w:r>
      <w:r>
        <w:rPr>
          <w:b/>
          <w:sz w:val="20"/>
        </w:rPr>
        <w:t> </w:t>
      </w:r>
      <w:r>
        <w:rPr>
          <w:i/>
          <w:sz w:val="20"/>
        </w:rPr>
        <w:t>Sentiment on migration size</w:t>
      </w:r>
    </w:p>
    <w:p>
      <w:pPr>
        <w:pStyle w:val="BodyText"/>
        <w:spacing w:before="3"/>
        <w:rPr>
          <w:i/>
          <w:sz w:val="27"/>
        </w:rPr>
      </w:pPr>
      <w:r>
        <w:rPr/>
        <w:drawing>
          <wp:anchor distT="0" distB="0" distL="0" distR="0" allowOverlap="1" layoutInCell="1" locked="0" behindDoc="0" simplePos="0" relativeHeight="1144">
            <wp:simplePos x="0" y="0"/>
            <wp:positionH relativeFrom="page">
              <wp:posOffset>1956028</wp:posOffset>
            </wp:positionH>
            <wp:positionV relativeFrom="paragraph">
              <wp:posOffset>223831</wp:posOffset>
            </wp:positionV>
            <wp:extent cx="3663384" cy="1592580"/>
            <wp:effectExtent l="0" t="0" r="0" b="0"/>
            <wp:wrapTopAndBottom/>
            <wp:docPr id="9" name="image5.png" descr=""/>
            <wp:cNvGraphicFramePr>
              <a:graphicFrameLocks noChangeAspect="1"/>
            </wp:cNvGraphicFramePr>
            <a:graphic>
              <a:graphicData uri="http://schemas.openxmlformats.org/drawingml/2006/picture">
                <pic:pic>
                  <pic:nvPicPr>
                    <pic:cNvPr id="10" name="image5.png"/>
                    <pic:cNvPicPr/>
                  </pic:nvPicPr>
                  <pic:blipFill>
                    <a:blip r:embed="rId11" cstate="print"/>
                    <a:stretch>
                      <a:fillRect/>
                    </a:stretch>
                  </pic:blipFill>
                  <pic:spPr>
                    <a:xfrm>
                      <a:off x="0" y="0"/>
                      <a:ext cx="3663384" cy="1592580"/>
                    </a:xfrm>
                    <a:prstGeom prst="rect">
                      <a:avLst/>
                    </a:prstGeom>
                  </pic:spPr>
                </pic:pic>
              </a:graphicData>
            </a:graphic>
          </wp:anchor>
        </w:drawing>
      </w:r>
    </w:p>
    <w:p>
      <w:pPr>
        <w:pStyle w:val="BodyText"/>
        <w:rPr>
          <w:i/>
          <w:sz w:val="24"/>
        </w:rPr>
      </w:pPr>
    </w:p>
    <w:p>
      <w:pPr>
        <w:pStyle w:val="BodyText"/>
        <w:spacing w:before="11"/>
        <w:rPr>
          <w:i/>
          <w:sz w:val="29"/>
        </w:rPr>
      </w:pPr>
    </w:p>
    <w:p>
      <w:pPr>
        <w:pStyle w:val="Heading1"/>
        <w:numPr>
          <w:ilvl w:val="0"/>
          <w:numId w:val="1"/>
        </w:numPr>
        <w:tabs>
          <w:tab w:pos="872" w:val="left" w:leader="none"/>
        </w:tabs>
        <w:spacing w:line="240" w:lineRule="auto" w:before="0" w:after="0"/>
        <w:ind w:left="871" w:right="0" w:hanging="283"/>
        <w:jc w:val="left"/>
      </w:pPr>
      <w:r>
        <w:rPr/>
        <w:t>Conclusion</w:t>
      </w:r>
    </w:p>
    <w:p>
      <w:pPr>
        <w:pStyle w:val="BodyText"/>
        <w:spacing w:before="7"/>
        <w:rPr>
          <w:b/>
          <w:sz w:val="21"/>
        </w:rPr>
      </w:pPr>
    </w:p>
    <w:p>
      <w:pPr>
        <w:pStyle w:val="BodyText"/>
        <w:ind w:left="588" w:right="585" w:firstLine="283"/>
        <w:jc w:val="both"/>
      </w:pPr>
      <w:r>
        <w:rPr/>
        <w:t>In this study, we show that the representation of migration in social media presents seven distinctive profiles and three sentiments that seem to be connected to the French presidential campaign. While the terrorist attack three days before the first round of voting in the centre of Paris has slightly modified the production of messages, the candidates’ interviews have a higher impact. Most probably, it is the medialization that impacts on the number of tweets</w:t>
      </w:r>
      <w:r>
        <w:rPr>
          <w:spacing w:val="-8"/>
        </w:rPr>
        <w:t> </w:t>
      </w:r>
      <w:r>
        <w:rPr/>
        <w:t>produced.</w:t>
      </w:r>
    </w:p>
    <w:p>
      <w:pPr>
        <w:pStyle w:val="BodyText"/>
        <w:spacing w:before="1"/>
        <w:ind w:left="588" w:right="584" w:firstLine="283"/>
        <w:jc w:val="both"/>
      </w:pPr>
      <w:r>
        <w:rPr/>
        <w:t>The results highlight that a negative sentiment prevails towards migration, as only 42% of the messages classified are positive. Among negative sentiments, 45% of discourses classified reflect citizen perception of being invaded or attacked, while only 13% consider migrants as victims. Moreover, in line with the literature, the social media analysis seems to be a fast and cheap device to explore political and electoral opinions. In fact, although the analysis is made only on the messages</w:t>
      </w:r>
    </w:p>
    <w:p>
      <w:pPr>
        <w:spacing w:after="0"/>
        <w:jc w:val="both"/>
        <w:sectPr>
          <w:pgSz w:w="11910" w:h="16840"/>
          <w:pgMar w:header="2838" w:footer="0" w:top="3040" w:bottom="280" w:left="1680" w:right="1680"/>
        </w:sectPr>
      </w:pPr>
    </w:p>
    <w:p>
      <w:pPr>
        <w:pStyle w:val="BodyText"/>
        <w:rPr>
          <w:sz w:val="13"/>
        </w:rPr>
      </w:pPr>
    </w:p>
    <w:p>
      <w:pPr>
        <w:pStyle w:val="BodyText"/>
        <w:spacing w:before="91"/>
        <w:ind w:left="588" w:right="584"/>
        <w:jc w:val="both"/>
      </w:pPr>
      <w:r>
        <w:rPr/>
        <w:t>produced by Twitter users on a specific topic and cannot be extended to all the voters, it is interesting to note that Marine Le Pen, who has largely used the negative sentiment on migration in the presidential election campaign, lost the election with 34% of votes on the second round. This percentage almost corresponds to the sum of clusters 2 and 5 (35,4%) in which migrants are represented as terrorists and invaders.</w:t>
      </w:r>
      <w:r>
        <w:rPr>
          <w:vertAlign w:val="superscript"/>
        </w:rPr>
        <w:t>1</w:t>
      </w:r>
    </w:p>
    <w:p>
      <w:pPr>
        <w:pStyle w:val="BodyText"/>
        <w:ind w:left="588" w:right="585" w:firstLine="283"/>
        <w:jc w:val="both"/>
      </w:pPr>
      <w:r>
        <w:rPr/>
        <w:t>In conclusion, the emotional text mining presented in this research defines a clear framework for the sentiment that French citizens have on migrations. It allows for the identification of the themes connected with positive and negative sentiments, offering a different way of looking to this</w:t>
      </w:r>
      <w:r>
        <w:rPr>
          <w:spacing w:val="-14"/>
        </w:rPr>
        <w:t> </w:t>
      </w:r>
      <w:r>
        <w:rPr/>
        <w:t>phenomenon.</w:t>
      </w:r>
    </w:p>
    <w:p>
      <w:pPr>
        <w:pStyle w:val="BodyText"/>
        <w:rPr>
          <w:sz w:val="24"/>
        </w:rPr>
      </w:pPr>
    </w:p>
    <w:p>
      <w:pPr>
        <w:pStyle w:val="BodyText"/>
        <w:spacing w:before="6"/>
        <w:rPr>
          <w:sz w:val="20"/>
        </w:rPr>
      </w:pPr>
    </w:p>
    <w:p>
      <w:pPr>
        <w:pStyle w:val="Heading1"/>
        <w:ind w:left="588" w:firstLine="0"/>
      </w:pPr>
      <w:r>
        <w:rPr/>
        <w:t>References</w:t>
      </w:r>
    </w:p>
    <w:p>
      <w:pPr>
        <w:pStyle w:val="BodyText"/>
        <w:spacing w:before="3"/>
        <w:rPr>
          <w:b/>
          <w:sz w:val="20"/>
        </w:rPr>
      </w:pPr>
    </w:p>
    <w:p>
      <w:pPr>
        <w:spacing w:before="0"/>
        <w:ind w:left="730" w:right="584" w:hanging="142"/>
        <w:jc w:val="both"/>
        <w:rPr>
          <w:sz w:val="20"/>
        </w:rPr>
      </w:pPr>
      <w:r>
        <w:rPr>
          <w:sz w:val="20"/>
        </w:rPr>
        <w:t>BOLASCO S. 2013. </w:t>
      </w:r>
      <w:r>
        <w:rPr>
          <w:i/>
          <w:sz w:val="20"/>
        </w:rPr>
        <w:t>L'analisi automatica dei testi: fare ricerca con il text mining</w:t>
      </w:r>
      <w:r>
        <w:rPr>
          <w:sz w:val="20"/>
        </w:rPr>
        <w:t>.Roma: Carocci Editore.</w:t>
      </w:r>
    </w:p>
    <w:p>
      <w:pPr>
        <w:spacing w:before="1"/>
        <w:ind w:left="730" w:right="588" w:hanging="142"/>
        <w:jc w:val="both"/>
        <w:rPr>
          <w:sz w:val="20"/>
        </w:rPr>
      </w:pPr>
      <w:r>
        <w:rPr>
          <w:sz w:val="20"/>
        </w:rPr>
        <w:t>CARLI R. 1990. Il processo di collusione nelle rappresentazioni sociali. </w:t>
      </w:r>
      <w:r>
        <w:rPr>
          <w:i/>
          <w:sz w:val="20"/>
        </w:rPr>
        <w:t>Rivista di </w:t>
      </w:r>
      <w:r>
        <w:rPr>
          <w:i/>
          <w:sz w:val="20"/>
        </w:rPr>
        <w:t>Psicologia Clinica</w:t>
      </w:r>
      <w:r>
        <w:rPr>
          <w:sz w:val="20"/>
        </w:rPr>
        <w:t>, Vol. 4, pp. 282-296.</w:t>
      </w:r>
    </w:p>
    <w:p>
      <w:pPr>
        <w:spacing w:line="229" w:lineRule="exact" w:before="1"/>
        <w:ind w:left="588" w:right="0" w:firstLine="0"/>
        <w:jc w:val="left"/>
        <w:rPr>
          <w:sz w:val="20"/>
        </w:rPr>
      </w:pPr>
      <w:r>
        <w:rPr>
          <w:sz w:val="20"/>
        </w:rPr>
        <w:t>CARLI R., PANICCIA R. M. 2002. </w:t>
      </w:r>
      <w:r>
        <w:rPr>
          <w:i/>
          <w:sz w:val="20"/>
        </w:rPr>
        <w:t>Analisi Emozionale del Testo</w:t>
      </w:r>
      <w:r>
        <w:rPr>
          <w:sz w:val="20"/>
        </w:rPr>
        <w:t>. Milano: Franco Angeli.</w:t>
      </w:r>
    </w:p>
    <w:p>
      <w:pPr>
        <w:spacing w:before="0"/>
        <w:ind w:left="730" w:right="580" w:hanging="142"/>
        <w:jc w:val="both"/>
        <w:rPr>
          <w:sz w:val="20"/>
        </w:rPr>
      </w:pPr>
      <w:r>
        <w:rPr>
          <w:sz w:val="20"/>
        </w:rPr>
        <w:t>CERON A., CURINI L., IACUS S. M. 2016. iSA: a fast, scalable and accurate algorithm for sentiment analysis of social media content. </w:t>
      </w:r>
      <w:r>
        <w:rPr>
          <w:i/>
          <w:sz w:val="20"/>
        </w:rPr>
        <w:t>Information Sciences</w:t>
      </w:r>
      <w:r>
        <w:rPr>
          <w:sz w:val="20"/>
        </w:rPr>
        <w:t>, Vol. 367, pp. 105- 124.</w:t>
      </w:r>
    </w:p>
    <w:p>
      <w:pPr>
        <w:spacing w:before="0"/>
        <w:ind w:left="588" w:right="0" w:firstLine="0"/>
        <w:jc w:val="left"/>
        <w:rPr>
          <w:sz w:val="20"/>
        </w:rPr>
      </w:pPr>
      <w:r>
        <w:rPr>
          <w:sz w:val="20"/>
        </w:rPr>
        <w:t>CERON A., CURINI L., IACUS S. M., PORRO G. 2014. Every tweet counts? How</w:t>
      </w:r>
    </w:p>
    <w:p>
      <w:pPr>
        <w:spacing w:before="1"/>
        <w:ind w:left="730" w:right="585" w:firstLine="0"/>
        <w:jc w:val="both"/>
        <w:rPr>
          <w:sz w:val="20"/>
        </w:rPr>
      </w:pPr>
      <w:r>
        <w:rPr>
          <w:sz w:val="20"/>
        </w:rPr>
        <w:t>sentiment analysis of social media can improve our knowledge of citizens’ political preferences with an application to Italy and France, </w:t>
      </w:r>
      <w:r>
        <w:rPr>
          <w:i/>
          <w:sz w:val="20"/>
        </w:rPr>
        <w:t>New Media &amp; Society</w:t>
      </w:r>
      <w:r>
        <w:rPr>
          <w:sz w:val="20"/>
        </w:rPr>
        <w:t>, Vol 16, No. 2, pp. 340-358.</w:t>
      </w:r>
    </w:p>
    <w:p>
      <w:pPr>
        <w:spacing w:before="0"/>
        <w:ind w:left="730" w:right="589" w:hanging="142"/>
        <w:jc w:val="both"/>
        <w:rPr>
          <w:sz w:val="20"/>
        </w:rPr>
      </w:pPr>
      <w:r>
        <w:rPr>
          <w:sz w:val="20"/>
        </w:rPr>
        <w:t>CERON A., CURINI L., IACUS S.. 2013. </w:t>
      </w:r>
      <w:r>
        <w:rPr>
          <w:i/>
          <w:sz w:val="20"/>
        </w:rPr>
        <w:t>Social Media e Sentiment Analysis. L’evoluzione </w:t>
      </w:r>
      <w:r>
        <w:rPr>
          <w:i/>
          <w:sz w:val="20"/>
        </w:rPr>
        <w:t>dei fenomeni sociali attraverso la Rete</w:t>
      </w:r>
      <w:r>
        <w:rPr>
          <w:sz w:val="20"/>
        </w:rPr>
        <w:t>. Milano: Springer.</w:t>
      </w:r>
    </w:p>
    <w:p>
      <w:pPr>
        <w:spacing w:before="0"/>
        <w:ind w:left="730" w:right="584" w:hanging="142"/>
        <w:jc w:val="both"/>
        <w:rPr>
          <w:sz w:val="20"/>
        </w:rPr>
      </w:pPr>
      <w:r>
        <w:rPr>
          <w:sz w:val="20"/>
        </w:rPr>
        <w:t>COPPOLA N. &amp; MACIOTI M. I. 2017. Migrations and Gender. In DEL RE, E.C., LARÉMONT R. R. (Eds) </w:t>
      </w:r>
      <w:r>
        <w:rPr>
          <w:i/>
          <w:sz w:val="20"/>
        </w:rPr>
        <w:t>Pursuing Stability and a Shared Development in Euro- </w:t>
      </w:r>
      <w:r>
        <w:rPr>
          <w:i/>
          <w:sz w:val="20"/>
        </w:rPr>
        <w:t>Mediterranean Migrations</w:t>
      </w:r>
      <w:r>
        <w:rPr>
          <w:sz w:val="20"/>
        </w:rPr>
        <w:t>, Rome: Aracne, pp. 183-201.</w:t>
      </w:r>
    </w:p>
    <w:p>
      <w:pPr>
        <w:spacing w:before="0"/>
        <w:ind w:left="730" w:right="582" w:hanging="142"/>
        <w:jc w:val="both"/>
        <w:rPr>
          <w:i/>
          <w:sz w:val="20"/>
        </w:rPr>
      </w:pPr>
      <w:r>
        <w:rPr>
          <w:sz w:val="20"/>
        </w:rPr>
        <w:t>CORDELLA B., GRECO F., RASO A. 2014. Lavorare con Corpus di Piccole Dimensioni in Psicologia Clinica: Una Proposta per la Preparazione e l’Analisi dei Dati. In NEE E., DAUBE M., VALETTE M., FLEURY S. (Eds) </w:t>
      </w:r>
      <w:r>
        <w:rPr>
          <w:i/>
          <w:sz w:val="20"/>
        </w:rPr>
        <w:t>Actes JADT 2014, 12es Journées</w:t>
      </w:r>
    </w:p>
    <w:p>
      <w:pPr>
        <w:spacing w:before="0"/>
        <w:ind w:left="730" w:right="582" w:firstLine="0"/>
        <w:jc w:val="both"/>
        <w:rPr>
          <w:sz w:val="20"/>
        </w:rPr>
      </w:pPr>
      <w:r>
        <w:rPr>
          <w:i/>
          <w:sz w:val="20"/>
        </w:rPr>
        <w:t>internationales d’Analyse Statistque des Données Textuelles, Paris, France, Juin 3-6, </w:t>
      </w:r>
      <w:r>
        <w:rPr>
          <w:i/>
          <w:sz w:val="20"/>
        </w:rPr>
        <w:t>2014, Lexicometrica</w:t>
      </w:r>
      <w:r>
        <w:rPr>
          <w:sz w:val="20"/>
        </w:rPr>
        <w:t>, pp. 173-184.</w:t>
      </w:r>
    </w:p>
    <w:p>
      <w:pPr>
        <w:spacing w:line="228" w:lineRule="exact" w:before="0"/>
        <w:ind w:left="588" w:right="0" w:firstLine="0"/>
        <w:jc w:val="left"/>
        <w:rPr>
          <w:i/>
          <w:sz w:val="20"/>
        </w:rPr>
      </w:pPr>
      <w:r>
        <w:rPr>
          <w:sz w:val="20"/>
        </w:rPr>
        <w:t>FORNARI F. 1976. </w:t>
      </w:r>
      <w:r>
        <w:rPr>
          <w:i/>
          <w:sz w:val="20"/>
        </w:rPr>
        <w:t>Simbolo e codice: Dal processo psicoanalitico all’analisi istituzionale.</w:t>
      </w:r>
    </w:p>
    <w:p>
      <w:pPr>
        <w:spacing w:before="0"/>
        <w:ind w:left="730" w:right="0" w:firstLine="0"/>
        <w:jc w:val="both"/>
        <w:rPr>
          <w:sz w:val="20"/>
        </w:rPr>
      </w:pPr>
      <w:r>
        <w:rPr>
          <w:sz w:val="20"/>
        </w:rPr>
        <w:t>Milano: Feltrinelli.</w:t>
      </w:r>
    </w:p>
    <w:p>
      <w:pPr>
        <w:spacing w:before="2"/>
        <w:ind w:left="588" w:right="0" w:firstLine="0"/>
        <w:jc w:val="left"/>
        <w:rPr>
          <w:sz w:val="20"/>
        </w:rPr>
      </w:pPr>
      <w:r>
        <w:rPr>
          <w:sz w:val="20"/>
        </w:rPr>
        <w:t>GENTRY J. 2016. R Based Twitter Client. R package version 1.1.9.</w:t>
      </w:r>
    </w:p>
    <w:p>
      <w:pPr>
        <w:pStyle w:val="BodyText"/>
        <w:rPr>
          <w:sz w:val="20"/>
        </w:rPr>
      </w:pPr>
    </w:p>
    <w:p>
      <w:pPr>
        <w:pStyle w:val="BodyText"/>
        <w:spacing w:before="4"/>
        <w:rPr>
          <w:sz w:val="20"/>
        </w:rPr>
      </w:pPr>
      <w:r>
        <w:rPr/>
        <w:pict>
          <v:line style="position:absolute;mso-position-horizontal-relative:page;mso-position-vertical-relative:paragraph;z-index:1168;mso-wrap-distance-left:0;mso-wrap-distance-right:0" from="113.419998pt,13.988541pt" to="257.439998pt,13.988541pt" stroked="true" strokeweight=".599980pt" strokecolor="#000000">
            <v:stroke dashstyle="solid"/>
            <w10:wrap type="topAndBottom"/>
          </v:line>
        </w:pict>
      </w:r>
    </w:p>
    <w:p>
      <w:pPr>
        <w:spacing w:before="50"/>
        <w:ind w:left="588" w:right="728" w:firstLine="0"/>
        <w:jc w:val="left"/>
        <w:rPr>
          <w:sz w:val="16"/>
        </w:rPr>
      </w:pPr>
      <w:r>
        <w:rPr>
          <w:position w:val="7"/>
          <w:sz w:val="10"/>
        </w:rPr>
        <w:t>1 </w:t>
      </w:r>
      <w:r>
        <w:rPr>
          <w:sz w:val="16"/>
        </w:rPr>
        <w:t>We did not consider the cluster 1 as it refers to the Mélenchon‘s proposition to host migrants in historical buildings.</w:t>
      </w:r>
    </w:p>
    <w:p>
      <w:pPr>
        <w:spacing w:after="0"/>
        <w:jc w:val="left"/>
        <w:rPr>
          <w:sz w:val="16"/>
        </w:rPr>
        <w:sectPr>
          <w:pgSz w:w="11910" w:h="16840"/>
          <w:pgMar w:header="2838" w:footer="0" w:top="3040" w:bottom="280" w:left="1680" w:right="1680"/>
        </w:sectPr>
      </w:pPr>
    </w:p>
    <w:p>
      <w:pPr>
        <w:pStyle w:val="BodyText"/>
        <w:rPr>
          <w:sz w:val="13"/>
        </w:rPr>
      </w:pPr>
    </w:p>
    <w:p>
      <w:pPr>
        <w:spacing w:before="91"/>
        <w:ind w:left="730" w:right="592" w:hanging="142"/>
        <w:jc w:val="both"/>
        <w:rPr>
          <w:sz w:val="20"/>
        </w:rPr>
      </w:pPr>
      <w:r>
        <w:rPr>
          <w:sz w:val="20"/>
        </w:rPr>
        <w:t>GRECO F. 2016. </w:t>
      </w:r>
      <w:r>
        <w:rPr>
          <w:i/>
          <w:sz w:val="20"/>
        </w:rPr>
        <w:t>Integrare la disabilità: Una metodologia interdisciplinare per leggere il </w:t>
      </w:r>
      <w:r>
        <w:rPr>
          <w:i/>
          <w:sz w:val="20"/>
        </w:rPr>
        <w:t>cambiamento culturale</w:t>
      </w:r>
      <w:r>
        <w:rPr>
          <w:sz w:val="20"/>
        </w:rPr>
        <w:t>. Milano: Franco Angeli.</w:t>
      </w:r>
    </w:p>
    <w:p>
      <w:pPr>
        <w:spacing w:line="229" w:lineRule="exact" w:before="0"/>
        <w:ind w:left="588" w:right="0" w:firstLine="0"/>
        <w:jc w:val="left"/>
        <w:rPr>
          <w:sz w:val="20"/>
        </w:rPr>
      </w:pPr>
      <w:r>
        <w:rPr>
          <w:sz w:val="20"/>
        </w:rPr>
        <w:t>HALFON S., ÇAVDAR A., ORSUCCI F., SCHIEPEK G. K., ANDREASSI S., GIULIANI</w:t>
      </w:r>
    </w:p>
    <w:p>
      <w:pPr>
        <w:spacing w:before="0"/>
        <w:ind w:left="730" w:right="582" w:firstLine="0"/>
        <w:jc w:val="both"/>
        <w:rPr>
          <w:sz w:val="20"/>
        </w:rPr>
      </w:pPr>
      <w:r>
        <w:rPr>
          <w:sz w:val="20"/>
        </w:rPr>
        <w:t>A., DE FELICE, G. 2016. The non-linear trajectory of change in play profiles of three children in psychodynamic play therapy. </w:t>
      </w:r>
      <w:r>
        <w:rPr>
          <w:i/>
          <w:sz w:val="20"/>
        </w:rPr>
        <w:t>Frontiers in Psychology, 7</w:t>
      </w:r>
      <w:r>
        <w:rPr>
          <w:sz w:val="20"/>
        </w:rPr>
        <w:t>(OCT) doi:10.3389/fpsyg.2016.</w:t>
      </w:r>
    </w:p>
    <w:p>
      <w:pPr>
        <w:spacing w:before="1"/>
        <w:ind w:left="730" w:right="591" w:hanging="142"/>
        <w:jc w:val="both"/>
        <w:rPr>
          <w:sz w:val="20"/>
        </w:rPr>
      </w:pPr>
      <w:r>
        <w:rPr>
          <w:sz w:val="20"/>
        </w:rPr>
        <w:t>HOPKINS D., KING G. 2010. A method of automated nonparametric content analysis for social science, </w:t>
      </w:r>
      <w:r>
        <w:rPr>
          <w:i/>
          <w:sz w:val="20"/>
        </w:rPr>
        <w:t>American J. Pol. Sci.</w:t>
      </w:r>
      <w:r>
        <w:rPr>
          <w:sz w:val="20"/>
        </w:rPr>
        <w:t>, Vol. 54, No. 1, pp. 229-247.</w:t>
      </w:r>
    </w:p>
    <w:p>
      <w:pPr>
        <w:spacing w:before="1"/>
        <w:ind w:left="588" w:right="728" w:firstLine="0"/>
        <w:jc w:val="left"/>
        <w:rPr>
          <w:sz w:val="20"/>
        </w:rPr>
      </w:pPr>
      <w:r>
        <w:rPr>
          <w:sz w:val="20"/>
        </w:rPr>
        <w:t>LANCIA F. 2017. User’s Manual : Tools for text analysis. T-Lab version Plus 2017. LEBART L., SALEM A., BERRY L. 1997. </w:t>
      </w:r>
      <w:r>
        <w:rPr>
          <w:i/>
          <w:sz w:val="20"/>
        </w:rPr>
        <w:t>Exploring textual data. Vol. 4</w:t>
      </w:r>
      <w:r>
        <w:rPr>
          <w:sz w:val="20"/>
        </w:rPr>
        <w:t>. New York:</w:t>
      </w:r>
    </w:p>
    <w:p>
      <w:pPr>
        <w:spacing w:line="229" w:lineRule="exact" w:before="0"/>
        <w:ind w:left="730" w:right="0" w:firstLine="0"/>
        <w:jc w:val="both"/>
        <w:rPr>
          <w:sz w:val="20"/>
        </w:rPr>
      </w:pPr>
      <w:r>
        <w:rPr>
          <w:sz w:val="20"/>
        </w:rPr>
        <w:t>Springer Science &amp; Business Media.</w:t>
      </w:r>
    </w:p>
    <w:p>
      <w:pPr>
        <w:spacing w:before="0"/>
        <w:ind w:left="588" w:right="0" w:firstLine="0"/>
        <w:jc w:val="left"/>
        <w:rPr>
          <w:i/>
          <w:sz w:val="20"/>
        </w:rPr>
      </w:pPr>
      <w:r>
        <w:rPr>
          <w:sz w:val="20"/>
        </w:rPr>
        <w:t>MATTE BLANCO I. 1981. </w:t>
      </w:r>
      <w:r>
        <w:rPr>
          <w:i/>
          <w:sz w:val="20"/>
        </w:rPr>
        <w:t>L’inconscio come insiemi infiniti: Saggio sulla bi-logica,</w:t>
      </w:r>
    </w:p>
    <w:p>
      <w:pPr>
        <w:spacing w:before="0"/>
        <w:ind w:left="730" w:right="0" w:firstLine="0"/>
        <w:jc w:val="both"/>
        <w:rPr>
          <w:sz w:val="20"/>
        </w:rPr>
      </w:pPr>
      <w:r>
        <w:rPr>
          <w:sz w:val="20"/>
        </w:rPr>
        <w:t>Torino: Einaudi.</w:t>
      </w:r>
    </w:p>
    <w:p>
      <w:pPr>
        <w:spacing w:line="229" w:lineRule="exact" w:before="1"/>
        <w:ind w:left="588" w:right="0" w:firstLine="0"/>
        <w:jc w:val="left"/>
        <w:rPr>
          <w:sz w:val="20"/>
        </w:rPr>
      </w:pPr>
      <w:r>
        <w:rPr>
          <w:sz w:val="20"/>
        </w:rPr>
        <w:t>MOSCOVICI S. 2005. </w:t>
      </w:r>
      <w:r>
        <w:rPr>
          <w:i/>
          <w:sz w:val="20"/>
        </w:rPr>
        <w:t>Le rappresentazioni sociali. </w:t>
      </w:r>
      <w:r>
        <w:rPr>
          <w:sz w:val="20"/>
        </w:rPr>
        <w:t>Bologna: Il Mulino.</w:t>
      </w:r>
    </w:p>
    <w:p>
      <w:pPr>
        <w:spacing w:before="0"/>
        <w:ind w:left="730" w:right="582" w:hanging="142"/>
        <w:jc w:val="both"/>
        <w:rPr>
          <w:sz w:val="20"/>
        </w:rPr>
      </w:pPr>
      <w:r>
        <w:rPr>
          <w:sz w:val="20"/>
        </w:rPr>
        <w:t>PELAGALLI f., GRECO F., DE SANTIS E. 2017. Social emotional data analysis. The  map of Europe. In PETRUCCI A. &amp; VERDE R. (Eds) </w:t>
      </w:r>
      <w:r>
        <w:rPr>
          <w:i/>
          <w:sz w:val="20"/>
        </w:rPr>
        <w:t>SIS 2017. Statistics and Data </w:t>
      </w:r>
      <w:r>
        <w:rPr>
          <w:i/>
          <w:sz w:val="20"/>
        </w:rPr>
        <w:t>Science: new challenges, new generations. Proceedings of the Conference of the Italian Statistical Society, Florence 28-30 June 2017</w:t>
      </w:r>
      <w:r>
        <w:rPr>
          <w:sz w:val="20"/>
        </w:rPr>
        <w:t>, Firenze: Firenze University Press, pp. 779- 784.</w:t>
      </w:r>
    </w:p>
    <w:p>
      <w:pPr>
        <w:spacing w:before="1"/>
        <w:ind w:left="730" w:right="582" w:hanging="142"/>
        <w:jc w:val="both"/>
        <w:rPr>
          <w:sz w:val="20"/>
        </w:rPr>
      </w:pPr>
      <w:r>
        <w:rPr>
          <w:sz w:val="20"/>
        </w:rPr>
        <w:t>REINERT A. 1983. Une méthode de classification descendante hiérarchique: application à l’analyse lexicale par contexte, </w:t>
      </w:r>
      <w:r>
        <w:rPr>
          <w:i/>
          <w:sz w:val="20"/>
        </w:rPr>
        <w:t>Les cahiers de l’analyse des données</w:t>
      </w:r>
      <w:r>
        <w:rPr>
          <w:sz w:val="20"/>
        </w:rPr>
        <w:t>, Vol. 8, No. 2, pp. 187-198.</w:t>
      </w:r>
    </w:p>
    <w:p>
      <w:pPr>
        <w:spacing w:before="0"/>
        <w:ind w:left="730" w:right="585" w:hanging="142"/>
        <w:jc w:val="both"/>
        <w:rPr>
          <w:sz w:val="20"/>
        </w:rPr>
      </w:pPr>
      <w:r>
        <w:rPr>
          <w:sz w:val="20"/>
        </w:rPr>
        <w:t>SALVATORE S., FREDA M. F. 2011. Affect, unconscious and sensemaking: A psychodynamic, semiotic and dialogic model. New Ideas, </w:t>
      </w:r>
      <w:r>
        <w:rPr>
          <w:i/>
          <w:sz w:val="20"/>
        </w:rPr>
        <w:t>Psychology</w:t>
      </w:r>
      <w:r>
        <w:rPr>
          <w:sz w:val="20"/>
        </w:rPr>
        <w:t>, Vol. 29, pp. 119– 135.</w:t>
      </w:r>
    </w:p>
    <w:p>
      <w:pPr>
        <w:spacing w:before="0"/>
        <w:ind w:left="730" w:right="582" w:hanging="142"/>
        <w:jc w:val="both"/>
        <w:rPr>
          <w:sz w:val="20"/>
        </w:rPr>
      </w:pPr>
      <w:r>
        <w:rPr>
          <w:sz w:val="20"/>
        </w:rPr>
        <w:t>SAVARESI, S. M., BOLEY, D. L. 2004. A comparative analysis on the bisecting </w:t>
      </w:r>
      <w:r>
        <w:rPr>
          <w:i/>
          <w:sz w:val="20"/>
        </w:rPr>
        <w:t>k</w:t>
      </w:r>
      <w:r>
        <w:rPr>
          <w:sz w:val="20"/>
        </w:rPr>
        <w:t>-means and the PDDP clustering algorithms. </w:t>
      </w:r>
      <w:r>
        <w:rPr>
          <w:i/>
          <w:sz w:val="20"/>
        </w:rPr>
        <w:t>Intelligent Data Analysis</w:t>
      </w:r>
      <w:r>
        <w:rPr>
          <w:sz w:val="20"/>
        </w:rPr>
        <w:t>, Vol. 8. No. 4, pp. 345- 362.</w:t>
      </w:r>
    </w:p>
    <w:p>
      <w:pPr>
        <w:spacing w:line="229" w:lineRule="exact" w:before="0"/>
        <w:ind w:left="588" w:right="0" w:firstLine="0"/>
        <w:jc w:val="left"/>
        <w:rPr>
          <w:sz w:val="20"/>
        </w:rPr>
      </w:pPr>
      <w:r>
        <w:rPr>
          <w:sz w:val="20"/>
        </w:rPr>
        <w:t>SCHOEN H., GAYO-AVELLO D., METAXAS P., MUSTAFARAJ E., STROHMAIER</w:t>
      </w:r>
    </w:p>
    <w:p>
      <w:pPr>
        <w:spacing w:before="1"/>
        <w:ind w:left="730" w:right="583" w:firstLine="0"/>
        <w:jc w:val="both"/>
        <w:rPr>
          <w:sz w:val="20"/>
        </w:rPr>
      </w:pPr>
      <w:r>
        <w:rPr>
          <w:sz w:val="20"/>
        </w:rPr>
        <w:t>M., GLOOR P.. 2013. The power of prediction with social media, </w:t>
      </w:r>
      <w:r>
        <w:rPr>
          <w:i/>
          <w:sz w:val="20"/>
        </w:rPr>
        <w:t>Internet Res</w:t>
      </w:r>
      <w:r>
        <w:rPr>
          <w:sz w:val="20"/>
        </w:rPr>
        <w:t>., Vol. 23, No. 5, pp. 528-543.</w:t>
      </w:r>
    </w:p>
    <w:p>
      <w:pPr>
        <w:spacing w:after="0"/>
        <w:jc w:val="both"/>
        <w:rPr>
          <w:sz w:val="20"/>
        </w:rPr>
        <w:sectPr>
          <w:pgSz w:w="11910" w:h="16840"/>
          <w:pgMar w:header="2838" w:footer="0" w:top="3040" w:bottom="280" w:left="1680" w:right="1680"/>
        </w:sectPr>
      </w:pPr>
    </w:p>
    <w:p>
      <w:pPr>
        <w:pStyle w:val="BodyText"/>
        <w:spacing w:before="4"/>
        <w:rPr>
          <w:sz w:val="13"/>
        </w:rPr>
      </w:pPr>
    </w:p>
    <w:p>
      <w:pPr>
        <w:pStyle w:val="Heading1"/>
        <w:spacing w:before="92"/>
        <w:ind w:left="626" w:right="624" w:firstLine="0"/>
        <w:jc w:val="center"/>
      </w:pPr>
      <w:r>
        <w:rPr/>
        <w:t>SUMMARY</w:t>
      </w:r>
    </w:p>
    <w:p>
      <w:pPr>
        <w:pStyle w:val="BodyText"/>
        <w:spacing w:before="9"/>
        <w:rPr>
          <w:b/>
          <w:sz w:val="20"/>
        </w:rPr>
      </w:pPr>
    </w:p>
    <w:p>
      <w:pPr>
        <w:spacing w:before="0"/>
        <w:ind w:left="629" w:right="624" w:firstLine="0"/>
        <w:jc w:val="center"/>
        <w:rPr>
          <w:b/>
          <w:sz w:val="22"/>
        </w:rPr>
      </w:pPr>
      <w:r>
        <w:rPr>
          <w:b/>
          <w:sz w:val="22"/>
        </w:rPr>
        <w:t>Emotional text mining of social networks: The French pre-electoral sentiment on migration</w:t>
      </w:r>
    </w:p>
    <w:p>
      <w:pPr>
        <w:pStyle w:val="BodyText"/>
        <w:spacing w:before="7"/>
        <w:rPr>
          <w:b/>
          <w:sz w:val="19"/>
        </w:rPr>
      </w:pPr>
    </w:p>
    <w:p>
      <w:pPr>
        <w:spacing w:before="0"/>
        <w:ind w:left="588" w:right="583" w:firstLine="283"/>
        <w:jc w:val="both"/>
        <w:rPr>
          <w:sz w:val="20"/>
        </w:rPr>
      </w:pPr>
      <w:r>
        <w:rPr>
          <w:sz w:val="20"/>
        </w:rPr>
        <w:t>Migration has actually gained considerable relevance both in the national and European political agendas and in general public debate. It is a challenge for governments, which needs coordinated responses to ensure citizens' security. Furthermore, the terrorist attacks against western countries have called into question freedom of movement and residence for people within the European Union. In the electoral campaign, the populist rhetoric on migration has largely exploited citizens’ perception of insecurity, as in the French presidential electoral campaign of 2017. In order to analyse public sentiment on migration, we collected with twittweR of R Statistics a sample of 111767 messages containing the word “migrant” produced in the last two weeks before the first-round votes from the Twitter repository. The messages were collected in a large size corpus of over two million tokens to which we applied multivariate techniques, i.e. cluster analysis with a bisecting </w:t>
      </w:r>
      <w:r>
        <w:rPr>
          <w:i/>
          <w:sz w:val="20"/>
        </w:rPr>
        <w:t>k</w:t>
      </w:r>
      <w:r>
        <w:rPr>
          <w:sz w:val="20"/>
        </w:rPr>
        <w:t>- means algorithm and a correspondence analysis on the keyword per cluster matrix, in order to identify the contents and the sentiments behind the shared comments. The results show how the clusters and the factorial space are representative of the different ways of emotionally representing migration, highlighting the relevant aspects perceived by those who choose to express themselves through</w:t>
      </w:r>
      <w:r>
        <w:rPr>
          <w:spacing w:val="-3"/>
          <w:sz w:val="20"/>
        </w:rPr>
        <w:t> </w:t>
      </w:r>
      <w:r>
        <w:rPr>
          <w:sz w:val="20"/>
        </w:rPr>
        <w:t>Twitter.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7"/>
        </w:rPr>
      </w:pPr>
      <w:r>
        <w:rPr/>
        <w:pict>
          <v:line style="position:absolute;mso-position-horizontal-relative:page;mso-position-vertical-relative:paragraph;z-index:1192;mso-wrap-distance-left:0;mso-wrap-distance-right:0" from="113.419998pt,12.475847pt" to="250.934245pt,12.475847pt" stroked="true" strokeweight=".4416pt" strokecolor="#000000">
            <v:stroke dashstyle="solid"/>
            <w10:wrap type="topAndBottom"/>
          </v:line>
        </w:pict>
      </w:r>
    </w:p>
    <w:p>
      <w:pPr>
        <w:pStyle w:val="BodyText"/>
        <w:spacing w:before="91"/>
        <w:ind w:left="730" w:right="728" w:hanging="142"/>
      </w:pPr>
      <w:r>
        <w:rPr/>
        <w:t>Francesca GRECO, Prisma S.r.l.; Dipartimento di Psicologia Dinamica e Clinica, Sapienza Università di Roma, </w:t>
      </w:r>
      <w:hyperlink r:id="rId12">
        <w:r>
          <w:rPr>
            <w:color w:val="0000FF"/>
            <w:u w:val="single" w:color="0000FF"/>
          </w:rPr>
          <w:t>francesca.greco@uniroma1.it</w:t>
        </w:r>
      </w:hyperlink>
    </w:p>
    <w:p>
      <w:pPr>
        <w:pStyle w:val="BodyText"/>
        <w:spacing w:line="252" w:lineRule="exact" w:before="1"/>
        <w:ind w:left="588"/>
      </w:pPr>
      <w:r>
        <w:rPr/>
        <w:t>Dario MASCHIETTI, Prisma S.r.l., </w:t>
      </w:r>
      <w:hyperlink r:id="rId13">
        <w:r>
          <w:rPr>
            <w:color w:val="0000FF"/>
            <w:u w:val="single" w:color="0000FF"/>
          </w:rPr>
          <w:t>d.maschietti@prispaprogetti.it</w:t>
        </w:r>
      </w:hyperlink>
    </w:p>
    <w:p>
      <w:pPr>
        <w:pStyle w:val="BodyText"/>
        <w:ind w:left="730" w:right="728" w:hanging="142"/>
      </w:pPr>
      <w:r>
        <w:rPr/>
        <w:t>Alessandro POLLI, Dipartimento di Scienze Sociali ed Economiche, Sapienza Università di Roma, </w:t>
      </w:r>
      <w:hyperlink r:id="rId14">
        <w:r>
          <w:rPr>
            <w:color w:val="0000FF"/>
            <w:u w:val="single" w:color="0000FF"/>
          </w:rPr>
          <w:t>alessandro.polli@uniroma1.it</w:t>
        </w:r>
      </w:hyperlink>
    </w:p>
    <w:sectPr>
      <w:pgSz w:w="11910" w:h="16840"/>
      <w:pgMar w:header="2838" w:footer="0" w:top="3040" w:bottom="280" w:left="168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0592" from="112.050003pt,152.299988pt" to="481.050003pt,152.299988pt" stroked="true" strokeweight=".25pt" strokecolor="#000000">
          <v:stroke dashstyle="solid"/>
          <w10:wrap type="none"/>
        </v:line>
      </w:pict>
    </w:r>
    <w:r>
      <w:rPr/>
      <w:pict>
        <v:shapetype id="_x0000_t202" o:spt="202" coordsize="21600,21600" path="m,l,21600r21600,l21600,xe">
          <v:stroke joinstyle="miter"/>
          <v:path gradientshapeok="t" o:connecttype="rect"/>
        </v:shapetype>
        <v:shape style="position:absolute;margin-left:111.419998pt;margin-top:140.879959pt;width:13.15pt;height:12pt;mso-position-horizontal-relative:page;mso-position-vertical-relative:page;z-index:-30568" type="#_x0000_t202" filled="false" stroked="false">
          <v:textbox inset="0,0,0,0">
            <w:txbxContent>
              <w:p>
                <w:pPr>
                  <w:spacing w:before="12"/>
                  <w:ind w:left="40" w:right="0" w:firstLine="0"/>
                  <w:jc w:val="left"/>
                  <w:rPr>
                    <w:sz w:val="18"/>
                  </w:rPr>
                </w:pPr>
                <w:r>
                  <w:rPr/>
                  <w:fldChar w:fldCharType="begin"/>
                </w:r>
                <w:r>
                  <w:rPr>
                    <w:sz w:val="18"/>
                  </w:rPr>
                  <w:instrText> PAGE </w:instrText>
                </w:r>
                <w:r>
                  <w:rPr/>
                  <w:fldChar w:fldCharType="separate"/>
                </w:r>
                <w:r>
                  <w:rPr/>
                  <w:t>10</w:t>
                </w:r>
                <w:r>
                  <w:rPr/>
                  <w:fldChar w:fldCharType="end"/>
                </w:r>
              </w:p>
            </w:txbxContent>
          </v:textbox>
          <w10:wrap type="none"/>
        </v:shape>
      </w:pict>
    </w:r>
    <w:r>
      <w:rPr/>
      <w:pict>
        <v:shape style="position:absolute;margin-left:327.269989pt;margin-top:140.879959pt;width:155.85pt;height:12pt;mso-position-horizontal-relative:page;mso-position-vertical-relative:page;z-index:-30544" type="#_x0000_t202" filled="false" stroked="false">
          <v:textbox inset="0,0,0,0">
            <w:txbxContent>
              <w:p>
                <w:pPr>
                  <w:spacing w:before="12"/>
                  <w:ind w:left="20" w:right="0" w:firstLine="0"/>
                  <w:jc w:val="left"/>
                  <w:rPr>
                    <w:i/>
                    <w:sz w:val="18"/>
                  </w:rPr>
                </w:pPr>
                <w:r>
                  <w:rPr>
                    <w:i/>
                    <w:sz w:val="18"/>
                  </w:rPr>
                  <w:t>53ma Riunione Scientifica – Roma UNINT</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30520" from="112.050003pt,152.299988pt" to="481.050003pt,152.299988pt" stroked="true" strokeweight=".25pt" strokecolor="#000000">
          <v:stroke dashstyle="solid"/>
          <w10:wrap type="none"/>
        </v:line>
      </w:pict>
    </w:r>
    <w:r>
      <w:rPr/>
      <w:pict>
        <v:shape style="position:absolute;margin-left:112.419998pt;margin-top:140.879959pt;width:193.4pt;height:12pt;mso-position-horizontal-relative:page;mso-position-vertical-relative:page;z-index:-30496" type="#_x0000_t202" filled="false" stroked="false">
          <v:textbox inset="0,0,0,0">
            <w:txbxContent>
              <w:p>
                <w:pPr>
                  <w:spacing w:before="12"/>
                  <w:ind w:left="20" w:right="0" w:firstLine="0"/>
                  <w:jc w:val="left"/>
                  <w:rPr>
                    <w:i/>
                    <w:sz w:val="18"/>
                  </w:rPr>
                </w:pPr>
                <w:r>
                  <w:rPr>
                    <w:i/>
                    <w:sz w:val="18"/>
                  </w:rPr>
                  <w:t>Rivista Italiana di Economia Demografia e Statistica</w:t>
                </w:r>
              </w:p>
            </w:txbxContent>
          </v:textbox>
          <w10:wrap type="none"/>
        </v:shape>
      </w:pict>
    </w:r>
    <w:r>
      <w:rPr/>
      <w:pict>
        <v:shape style="position:absolute;margin-left:471.019989pt;margin-top:140.879959pt;width:13.15pt;height:12pt;mso-position-horizontal-relative:page;mso-position-vertical-relative:page;z-index:-30472" type="#_x0000_t202" filled="false" stroked="false">
          <v:textbox inset="0,0,0,0">
            <w:txbxContent>
              <w:p>
                <w:pPr>
                  <w:spacing w:before="12"/>
                  <w:ind w:left="40" w:right="0" w:firstLine="0"/>
                  <w:jc w:val="left"/>
                  <w:rPr>
                    <w:sz w:val="18"/>
                  </w:rPr>
                </w:pPr>
                <w:r>
                  <w:rPr/>
                  <w:fldChar w:fldCharType="begin"/>
                </w:r>
                <w:r>
                  <w:rPr>
                    <w:sz w:val="18"/>
                  </w:rPr>
                  <w:instrText> PAGE </w:instrText>
                </w:r>
                <w:r>
                  <w:rPr/>
                  <w:fldChar w:fldCharType="separate"/>
                </w:r>
                <w:r>
                  <w:rPr/>
                  <w:t>11</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71" w:hanging="284"/>
        <w:jc w:val="left"/>
      </w:pPr>
      <w:rPr>
        <w:rFonts w:hint="default" w:ascii="Times New Roman" w:hAnsi="Times New Roman" w:eastAsia="Times New Roman" w:cs="Times New Roman"/>
        <w:b/>
        <w:bCs/>
        <w:w w:val="100"/>
        <w:sz w:val="22"/>
        <w:szCs w:val="22"/>
        <w:lang w:val="it-IT" w:eastAsia="it-IT" w:bidi="it-IT"/>
      </w:rPr>
    </w:lvl>
    <w:lvl w:ilvl="1">
      <w:start w:val="0"/>
      <w:numFmt w:val="bullet"/>
      <w:lvlText w:val="•"/>
      <w:lvlJc w:val="left"/>
      <w:pPr>
        <w:ind w:left="1646" w:hanging="284"/>
      </w:pPr>
      <w:rPr>
        <w:rFonts w:hint="default"/>
        <w:lang w:val="it-IT" w:eastAsia="it-IT" w:bidi="it-IT"/>
      </w:rPr>
    </w:lvl>
    <w:lvl w:ilvl="2">
      <w:start w:val="0"/>
      <w:numFmt w:val="bullet"/>
      <w:lvlText w:val="•"/>
      <w:lvlJc w:val="left"/>
      <w:pPr>
        <w:ind w:left="2413" w:hanging="284"/>
      </w:pPr>
      <w:rPr>
        <w:rFonts w:hint="default"/>
        <w:lang w:val="it-IT" w:eastAsia="it-IT" w:bidi="it-IT"/>
      </w:rPr>
    </w:lvl>
    <w:lvl w:ilvl="3">
      <w:start w:val="0"/>
      <w:numFmt w:val="bullet"/>
      <w:lvlText w:val="•"/>
      <w:lvlJc w:val="left"/>
      <w:pPr>
        <w:ind w:left="3179" w:hanging="284"/>
      </w:pPr>
      <w:rPr>
        <w:rFonts w:hint="default"/>
        <w:lang w:val="it-IT" w:eastAsia="it-IT" w:bidi="it-IT"/>
      </w:rPr>
    </w:lvl>
    <w:lvl w:ilvl="4">
      <w:start w:val="0"/>
      <w:numFmt w:val="bullet"/>
      <w:lvlText w:val="•"/>
      <w:lvlJc w:val="left"/>
      <w:pPr>
        <w:ind w:left="3946" w:hanging="284"/>
      </w:pPr>
      <w:rPr>
        <w:rFonts w:hint="default"/>
        <w:lang w:val="it-IT" w:eastAsia="it-IT" w:bidi="it-IT"/>
      </w:rPr>
    </w:lvl>
    <w:lvl w:ilvl="5">
      <w:start w:val="0"/>
      <w:numFmt w:val="bullet"/>
      <w:lvlText w:val="•"/>
      <w:lvlJc w:val="left"/>
      <w:pPr>
        <w:ind w:left="4713" w:hanging="284"/>
      </w:pPr>
      <w:rPr>
        <w:rFonts w:hint="default"/>
        <w:lang w:val="it-IT" w:eastAsia="it-IT" w:bidi="it-IT"/>
      </w:rPr>
    </w:lvl>
    <w:lvl w:ilvl="6">
      <w:start w:val="0"/>
      <w:numFmt w:val="bullet"/>
      <w:lvlText w:val="•"/>
      <w:lvlJc w:val="left"/>
      <w:pPr>
        <w:ind w:left="5479" w:hanging="284"/>
      </w:pPr>
      <w:rPr>
        <w:rFonts w:hint="default"/>
        <w:lang w:val="it-IT" w:eastAsia="it-IT" w:bidi="it-IT"/>
      </w:rPr>
    </w:lvl>
    <w:lvl w:ilvl="7">
      <w:start w:val="0"/>
      <w:numFmt w:val="bullet"/>
      <w:lvlText w:val="•"/>
      <w:lvlJc w:val="left"/>
      <w:pPr>
        <w:ind w:left="6246" w:hanging="284"/>
      </w:pPr>
      <w:rPr>
        <w:rFonts w:hint="default"/>
        <w:lang w:val="it-IT" w:eastAsia="it-IT" w:bidi="it-IT"/>
      </w:rPr>
    </w:lvl>
    <w:lvl w:ilvl="8">
      <w:start w:val="0"/>
      <w:numFmt w:val="bullet"/>
      <w:lvlText w:val="•"/>
      <w:lvlJc w:val="left"/>
      <w:pPr>
        <w:ind w:left="7013" w:hanging="284"/>
      </w:pPr>
      <w:rPr>
        <w:rFonts w:hint="default"/>
        <w:lang w:val="it-IT" w:eastAsia="it-IT" w:bidi="it-I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t-IT" w:eastAsia="it-IT" w:bidi="it-IT"/>
    </w:rPr>
  </w:style>
  <w:style w:styleId="BodyText" w:type="paragraph">
    <w:name w:val="Body Text"/>
    <w:basedOn w:val="Normal"/>
    <w:uiPriority w:val="1"/>
    <w:qFormat/>
    <w:pPr/>
    <w:rPr>
      <w:rFonts w:ascii="Times New Roman" w:hAnsi="Times New Roman" w:eastAsia="Times New Roman" w:cs="Times New Roman"/>
      <w:sz w:val="22"/>
      <w:szCs w:val="22"/>
      <w:lang w:val="it-IT" w:eastAsia="it-IT" w:bidi="it-IT"/>
    </w:rPr>
  </w:style>
  <w:style w:styleId="Heading1" w:type="paragraph">
    <w:name w:val="Heading 1"/>
    <w:basedOn w:val="Normal"/>
    <w:uiPriority w:val="1"/>
    <w:qFormat/>
    <w:pPr>
      <w:ind w:left="871" w:hanging="283"/>
      <w:outlineLvl w:val="1"/>
    </w:pPr>
    <w:rPr>
      <w:rFonts w:ascii="Times New Roman" w:hAnsi="Times New Roman" w:eastAsia="Times New Roman" w:cs="Times New Roman"/>
      <w:b/>
      <w:bCs/>
      <w:sz w:val="22"/>
      <w:szCs w:val="22"/>
      <w:lang w:val="it-IT" w:eastAsia="it-IT" w:bidi="it-IT"/>
    </w:rPr>
  </w:style>
  <w:style w:styleId="ListParagraph" w:type="paragraph">
    <w:name w:val="List Paragraph"/>
    <w:basedOn w:val="Normal"/>
    <w:uiPriority w:val="1"/>
    <w:qFormat/>
    <w:pPr>
      <w:ind w:left="871" w:hanging="283"/>
    </w:pPr>
    <w:rPr>
      <w:rFonts w:ascii="Times New Roman" w:hAnsi="Times New Roman" w:eastAsia="Times New Roman" w:cs="Times New Roman"/>
      <w:lang w:val="it-IT" w:eastAsia="it-IT" w:bidi="it-IT"/>
    </w:rPr>
  </w:style>
  <w:style w:styleId="TableParagraph" w:type="paragraph">
    <w:name w:val="Table Paragraph"/>
    <w:basedOn w:val="Normal"/>
    <w:uiPriority w:val="1"/>
    <w:qFormat/>
    <w:pPr/>
    <w:rPr>
      <w:rFonts w:ascii="Times New Roman" w:hAnsi="Times New Roman" w:eastAsia="Times New Roman" w:cs="Times New Roman"/>
      <w:lang w:val="it-IT" w:eastAsia="it-IT" w:bidi="it-I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image" Target="media/image1.jpeg"/><Relationship Id="rId8" Type="http://schemas.openxmlformats.org/officeDocument/2006/relationships/image" Target="media/image2.png"/><Relationship Id="rId9" Type="http://schemas.openxmlformats.org/officeDocument/2006/relationships/image" Target="media/image3.jpe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hyperlink" Target="mailto:francesca.greco@uniroma1.it" TargetMode="External"/><Relationship Id="rId13" Type="http://schemas.openxmlformats.org/officeDocument/2006/relationships/hyperlink" Target="mailto:d.maschietti@prispaprogetti.it" TargetMode="External"/><Relationship Id="rId14" Type="http://schemas.openxmlformats.org/officeDocument/2006/relationships/hyperlink" Target="mailto:alessandro.polli@uniroma1.it" TargetMode="External"/><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Alessio</dc:creator>
  <dcterms:created xsi:type="dcterms:W3CDTF">2018-02-28T16:10:10Z</dcterms:created>
  <dcterms:modified xsi:type="dcterms:W3CDTF">2018-02-28T16:10:10Z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2017-12-13T00:00:00Z</vt:filetime>
  </property>
  <property fmtid="{D5CDD505-2E9C-101B-9397-08002B2CF9AE}" pid="3" name="Creator">
    <vt:lpwstr>Microsoft® Word 2010</vt:lpwstr>
  </property>
  <property fmtid="{D5CDD505-2E9C-101B-9397-08002B2CF9AE}" pid="4" name="LastSaved">
    <vt:filetime>2018-02-28T00:00:00Z</vt:filetime>
  </property>
</Properties>
</file>